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default" w:ascii="方正小标宋简体" w:hAnsi="方正小标宋简体" w:eastAsia="方正小标宋简体" w:cs="方正小标宋简体"/>
          <w:bCs/>
          <w:kern w:val="0"/>
          <w:sz w:val="44"/>
          <w:szCs w:val="44"/>
          <w:lang w:val="en-US" w:eastAsia="zh-CN"/>
        </w:rPr>
      </w:pPr>
      <w:r>
        <w:rPr>
          <w:rFonts w:hint="eastAsia" w:ascii="方正小标宋简体" w:hAnsi="楷体" w:eastAsia="方正小标宋简体" w:cs="宋体"/>
          <w:bCs/>
          <w:kern w:val="0"/>
          <w:sz w:val="44"/>
          <w:szCs w:val="44"/>
          <w:lang w:val="en-US" w:eastAsia="zh-CN"/>
        </w:rPr>
        <w:t>临工校字</w:t>
      </w:r>
      <w:r>
        <w:rPr>
          <w:rFonts w:hint="eastAsia" w:ascii="宋体" w:hAnsi="宋体" w:eastAsia="宋体" w:cs="宋体"/>
          <w:bCs/>
          <w:kern w:val="0"/>
          <w:sz w:val="44"/>
          <w:szCs w:val="44"/>
          <w:lang w:val="en-US" w:eastAsia="zh-CN"/>
        </w:rPr>
        <w:t>〔2021〕20号</w:t>
      </w:r>
    </w:p>
    <w:p>
      <w:pPr>
        <w:widowControl/>
        <w:shd w:val="clear" w:color="auto" w:fill="FFFFFF"/>
        <w:spacing w:line="560" w:lineRule="exact"/>
        <w:jc w:val="center"/>
        <w:rPr>
          <w:rFonts w:hint="default"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r>
        <w:rPr>
          <w:rFonts w:hint="eastAsia" w:ascii="方正小标宋简体" w:hAnsi="楷体" w:eastAsia="方正小标宋简体" w:cs="宋体"/>
          <w:bCs/>
          <w:kern w:val="0"/>
          <w:sz w:val="44"/>
          <w:szCs w:val="44"/>
          <w:lang w:val="en-US" w:eastAsia="zh-CN"/>
        </w:rPr>
        <w:t>关于印发《临沂市工业学校“十四五”专业发展规划（2021-2025）》的通知</w:t>
      </w:r>
    </w:p>
    <w:p>
      <w:pPr>
        <w:widowControl/>
        <w:shd w:val="clear" w:color="auto" w:fill="FFFFFF"/>
        <w:spacing w:line="560" w:lineRule="exact"/>
        <w:jc w:val="center"/>
        <w:rPr>
          <w:rFonts w:hint="eastAsia" w:ascii="方正小标宋简体" w:hAnsi="楷体" w:eastAsia="方正小标宋简体" w:cs="宋体"/>
          <w:bCs/>
          <w:kern w:val="0"/>
          <w:sz w:val="44"/>
          <w:szCs w:val="44"/>
          <w:lang w:val="en-US" w:eastAsia="zh-CN"/>
        </w:rPr>
      </w:pPr>
    </w:p>
    <w:p>
      <w:pPr>
        <w:widowControl/>
        <w:shd w:val="clear" w:color="auto" w:fill="FFFFFF"/>
        <w:spacing w:line="56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各处室、系部：</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《临沂市工业学校“十四五”专业发展规划（2021-2025）》已经学校党委会研究同意，现印发给你们，请认真贯彻落实。</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lang w:val="en-US" w:eastAsia="zh-CN"/>
        </w:rPr>
      </w:pP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lang w:val="en-US" w:eastAsia="zh-CN"/>
        </w:rPr>
      </w:pPr>
    </w:p>
    <w:p>
      <w:pPr>
        <w:widowControl/>
        <w:shd w:val="clear" w:color="auto" w:fill="FFFFFF"/>
        <w:spacing w:line="560" w:lineRule="exact"/>
        <w:ind w:firstLine="6080" w:firstLineChars="19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2021年6月30日</w:t>
      </w:r>
    </w:p>
    <w:p>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lang w:val="en-US" w:eastAsia="zh-CN"/>
        </w:rPr>
      </w:pPr>
    </w:p>
    <w:p>
      <w:pPr>
        <w:widowControl/>
        <w:shd w:val="clear" w:color="auto" w:fill="FFFFFF"/>
        <w:spacing w:line="560" w:lineRule="exact"/>
        <w:jc w:val="center"/>
        <w:rPr>
          <w:rFonts w:hint="eastAsia" w:ascii="方正小标宋简体" w:hAnsi="楷体" w:eastAsia="方正小标宋简体" w:cs="宋体"/>
          <w:bCs/>
          <w:kern w:val="0"/>
          <w:sz w:val="44"/>
          <w:szCs w:val="44"/>
        </w:rPr>
        <w:sectPr>
          <w:footerReference r:id="rId3" w:type="default"/>
          <w:pgSz w:w="11906" w:h="16838"/>
          <w:pgMar w:top="1531" w:right="1417" w:bottom="1474" w:left="1588" w:header="851" w:footer="992" w:gutter="0"/>
          <w:pgNumType w:fmt="numberInDash" w:start="1"/>
          <w:cols w:space="425" w:num="1"/>
          <w:docGrid w:type="lines" w:linePitch="312" w:charSpace="0"/>
        </w:sectPr>
      </w:pPr>
      <w:bookmarkStart w:id="6" w:name="_GoBack"/>
      <w:bookmarkEnd w:id="6"/>
    </w:p>
    <w:p>
      <w:pPr>
        <w:widowControl/>
        <w:shd w:val="clear" w:color="auto" w:fill="FFFFFF"/>
        <w:spacing w:line="560" w:lineRule="exact"/>
        <w:jc w:val="center"/>
        <w:rPr>
          <w:rFonts w:ascii="方正小标宋简体" w:hAnsi="楷体" w:eastAsia="方正小标宋简体" w:cs="宋体"/>
          <w:bCs/>
          <w:kern w:val="0"/>
          <w:sz w:val="44"/>
          <w:szCs w:val="44"/>
        </w:rPr>
      </w:pPr>
      <w:r>
        <w:rPr>
          <w:rFonts w:hint="eastAsia" w:ascii="方正小标宋简体" w:hAnsi="楷体" w:eastAsia="方正小标宋简体" w:cs="宋体"/>
          <w:bCs/>
          <w:kern w:val="0"/>
          <w:sz w:val="44"/>
          <w:szCs w:val="44"/>
        </w:rPr>
        <w:t>临沂市工业学校“十</w:t>
      </w:r>
      <w:r>
        <w:rPr>
          <w:rFonts w:hint="eastAsia" w:ascii="方正小标宋简体" w:hAnsi="楷体" w:eastAsia="方正小标宋简体" w:cs="宋体"/>
          <w:bCs/>
          <w:kern w:val="0"/>
          <w:sz w:val="44"/>
          <w:szCs w:val="44"/>
          <w:lang w:val="en-US" w:eastAsia="zh-CN"/>
        </w:rPr>
        <w:t>四</w:t>
      </w:r>
      <w:r>
        <w:rPr>
          <w:rFonts w:hint="eastAsia" w:ascii="方正小标宋简体" w:hAnsi="楷体" w:eastAsia="方正小标宋简体" w:cs="宋体"/>
          <w:bCs/>
          <w:kern w:val="0"/>
          <w:sz w:val="44"/>
          <w:szCs w:val="44"/>
        </w:rPr>
        <w:t>五”专业发展规划（2021-2025）</w:t>
      </w:r>
    </w:p>
    <w:p>
      <w:pPr>
        <w:widowControl/>
        <w:shd w:val="clear" w:color="auto" w:fill="FFFFFF"/>
        <w:jc w:val="center"/>
        <w:rPr>
          <w:rFonts w:ascii="楷体" w:hAnsi="楷体" w:eastAsia="楷体" w:cs="宋体"/>
          <w:kern w:val="0"/>
          <w:szCs w:val="21"/>
        </w:rPr>
      </w:pP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十四五”时期，是国家加快推进教育现代化战略部署的关键时期，是全面深化</w:t>
      </w:r>
      <w:r>
        <w:rPr>
          <w:rFonts w:hint="eastAsia" w:ascii="仿宋_GB2312" w:hAnsi="仿宋_GB2312" w:eastAsia="仿宋_GB2312" w:cs="仿宋_GB2312"/>
          <w:kern w:val="0"/>
          <w:sz w:val="32"/>
          <w:szCs w:val="32"/>
          <w:lang w:val="en-US" w:eastAsia="zh-CN"/>
        </w:rPr>
        <w:t>中等职业</w:t>
      </w:r>
      <w:r>
        <w:rPr>
          <w:rFonts w:hint="eastAsia" w:ascii="仿宋_GB2312" w:hAnsi="仿宋_GB2312" w:eastAsia="仿宋_GB2312" w:cs="仿宋_GB2312"/>
          <w:kern w:val="0"/>
          <w:sz w:val="32"/>
          <w:szCs w:val="32"/>
        </w:rPr>
        <w:t>教育领域综合改革，实现</w:t>
      </w:r>
      <w:r>
        <w:rPr>
          <w:rFonts w:hint="eastAsia" w:ascii="仿宋_GB2312" w:hAnsi="仿宋_GB2312" w:eastAsia="仿宋_GB2312" w:cs="仿宋_GB2312"/>
          <w:kern w:val="0"/>
          <w:sz w:val="32"/>
          <w:szCs w:val="32"/>
          <w:lang w:val="en-US" w:eastAsia="zh-CN"/>
        </w:rPr>
        <w:t>中等职业</w:t>
      </w:r>
      <w:r>
        <w:rPr>
          <w:rFonts w:hint="eastAsia" w:ascii="仿宋_GB2312" w:hAnsi="仿宋_GB2312" w:eastAsia="仿宋_GB2312" w:cs="仿宋_GB2312"/>
          <w:kern w:val="0"/>
          <w:sz w:val="32"/>
          <w:szCs w:val="32"/>
        </w:rPr>
        <w:t>教育内涵式发展的重要时期，也是学校</w:t>
      </w:r>
      <w:r>
        <w:rPr>
          <w:rFonts w:hint="eastAsia" w:ascii="仿宋_GB2312" w:hAnsi="仿宋_GB2312" w:eastAsia="仿宋_GB2312" w:cs="仿宋_GB2312"/>
          <w:kern w:val="0"/>
          <w:sz w:val="32"/>
          <w:szCs w:val="32"/>
          <w:lang w:val="en-US" w:eastAsia="zh-CN"/>
        </w:rPr>
        <w:t>争创国家“双优”、山东省“双高”</w:t>
      </w:r>
      <w:r>
        <w:rPr>
          <w:rFonts w:hint="eastAsia" w:ascii="仿宋_GB2312" w:hAnsi="仿宋_GB2312" w:eastAsia="仿宋_GB2312" w:cs="仿宋_GB2312"/>
          <w:kern w:val="0"/>
          <w:sz w:val="32"/>
          <w:szCs w:val="32"/>
        </w:rPr>
        <w:t>建设目标的决胜时期。为巩固和拓展“十三五”时期专业建设所开创的新局面、取得的新成就，应对落实国家及区域经济社会和</w:t>
      </w:r>
      <w:r>
        <w:rPr>
          <w:rFonts w:hint="eastAsia" w:ascii="仿宋_GB2312" w:hAnsi="仿宋_GB2312" w:eastAsia="仿宋_GB2312" w:cs="仿宋_GB2312"/>
          <w:kern w:val="0"/>
          <w:sz w:val="32"/>
          <w:szCs w:val="32"/>
          <w:lang w:val="en-US" w:eastAsia="zh-CN"/>
        </w:rPr>
        <w:t>中等职业</w:t>
      </w:r>
      <w:r>
        <w:rPr>
          <w:rFonts w:hint="eastAsia" w:ascii="仿宋_GB2312" w:hAnsi="仿宋_GB2312" w:eastAsia="仿宋_GB2312" w:cs="仿宋_GB2312"/>
          <w:kern w:val="0"/>
          <w:sz w:val="32"/>
          <w:szCs w:val="32"/>
        </w:rPr>
        <w:t>教育发展的新形势、提出的新要求，根据《</w:t>
      </w:r>
      <w:r>
        <w:rPr>
          <w:rFonts w:hint="eastAsia" w:ascii="仿宋_GB2312" w:hAnsi="仿宋_GB2312" w:eastAsia="仿宋_GB2312" w:cs="仿宋_GB2312"/>
          <w:kern w:val="0"/>
          <w:sz w:val="32"/>
          <w:szCs w:val="32"/>
          <w:lang w:val="en-US" w:eastAsia="zh-CN"/>
        </w:rPr>
        <w:t>国家职业教育改革实施方案</w:t>
      </w:r>
      <w:r>
        <w:rPr>
          <w:rFonts w:hint="eastAsia" w:ascii="仿宋_GB2312" w:hAnsi="仿宋_GB2312" w:eastAsia="仿宋_GB2312" w:cs="仿宋_GB2312"/>
          <w:kern w:val="0"/>
          <w:sz w:val="32"/>
          <w:szCs w:val="32"/>
        </w:rPr>
        <w:t>》《山东省教育厅等11部门关于办好新时代职业教育的十条意见》《教育部 山东省人民政府关于整省推进提质培优建设职业教育创新发展高地的意见》《职业教育提质培优行动计划（2020-2023年）》《</w:t>
      </w:r>
      <w:r>
        <w:rPr>
          <w:rFonts w:hint="eastAsia" w:ascii="仿宋_GB2312" w:hAnsi="仿宋_GB2312" w:eastAsia="仿宋_GB2312" w:cs="仿宋_GB2312"/>
          <w:kern w:val="0"/>
          <w:sz w:val="32"/>
          <w:szCs w:val="32"/>
          <w:lang w:val="en-US" w:eastAsia="zh-CN"/>
        </w:rPr>
        <w:t>临沂市工业学校</w:t>
      </w:r>
      <w:r>
        <w:rPr>
          <w:rFonts w:hint="eastAsia" w:ascii="仿宋_GB2312" w:hAnsi="仿宋_GB2312" w:eastAsia="仿宋_GB2312" w:cs="仿宋_GB2312"/>
          <w:kern w:val="0"/>
          <w:sz w:val="32"/>
          <w:szCs w:val="32"/>
        </w:rPr>
        <w:t>“十四五”教育事业发展规划》等文件要求，结合学校实际，制定“十四五”专业</w:t>
      </w:r>
      <w:r>
        <w:rPr>
          <w:rFonts w:hint="eastAsia" w:ascii="仿宋_GB2312" w:hAnsi="仿宋_GB2312" w:eastAsia="仿宋_GB2312" w:cs="仿宋_GB2312"/>
          <w:kern w:val="0"/>
          <w:sz w:val="32"/>
          <w:szCs w:val="32"/>
          <w:lang w:val="en-US" w:eastAsia="zh-CN"/>
        </w:rPr>
        <w:t>发展</w:t>
      </w:r>
      <w:r>
        <w:rPr>
          <w:rFonts w:hint="eastAsia" w:ascii="仿宋_GB2312" w:hAnsi="仿宋_GB2312" w:eastAsia="仿宋_GB2312" w:cs="仿宋_GB2312"/>
          <w:kern w:val="0"/>
          <w:sz w:val="32"/>
          <w:szCs w:val="32"/>
        </w:rPr>
        <w:t>规划。</w:t>
      </w:r>
    </w:p>
    <w:p>
      <w:pPr>
        <w:widowControl/>
        <w:shd w:val="clear" w:color="auto" w:fill="FFFFFF"/>
        <w:spacing w:line="560" w:lineRule="exact"/>
        <w:ind w:firstLine="640" w:firstLineChars="200"/>
        <w:jc w:val="left"/>
        <w:outlineLvl w:val="0"/>
        <w:rPr>
          <w:rFonts w:hint="eastAsia" w:ascii="黑体" w:hAnsi="黑体" w:eastAsia="黑体" w:cs="黑体"/>
          <w:kern w:val="0"/>
          <w:sz w:val="32"/>
          <w:szCs w:val="32"/>
        </w:rPr>
      </w:pPr>
      <w:r>
        <w:rPr>
          <w:rFonts w:hint="eastAsia" w:ascii="黑体" w:hAnsi="黑体" w:eastAsia="黑体" w:cs="黑体"/>
          <w:kern w:val="0"/>
          <w:sz w:val="32"/>
          <w:szCs w:val="32"/>
        </w:rPr>
        <w:t>一、学校专业现状</w:t>
      </w:r>
    </w:p>
    <w:p>
      <w:pPr>
        <w:widowControl/>
        <w:shd w:val="clear" w:color="auto" w:fill="FFFFFF"/>
        <w:spacing w:line="560" w:lineRule="exact"/>
        <w:ind w:firstLine="640" w:firstLineChars="200"/>
        <w:jc w:val="left"/>
        <w:outlineLvl w:val="1"/>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val="en-US" w:eastAsia="zh-CN"/>
        </w:rPr>
        <w:t>一</w:t>
      </w:r>
      <w:r>
        <w:rPr>
          <w:rFonts w:hint="eastAsia" w:ascii="楷体_GB2312" w:hAnsi="楷体_GB2312" w:eastAsia="楷体_GB2312" w:cs="楷体_GB2312"/>
          <w:b w:val="0"/>
          <w:bCs/>
          <w:kern w:val="0"/>
          <w:sz w:val="32"/>
          <w:szCs w:val="32"/>
        </w:rPr>
        <w:t>）专业设置与结构</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学校设有七个系部，分别为机电技术系、信息</w:t>
      </w:r>
      <w:r>
        <w:rPr>
          <w:rFonts w:hint="eastAsia" w:ascii="仿宋_GB2312" w:hAnsi="仿宋_GB2312" w:eastAsia="仿宋_GB2312" w:cs="仿宋_GB2312"/>
          <w:kern w:val="0"/>
          <w:sz w:val="32"/>
          <w:szCs w:val="32"/>
          <w:lang w:val="en-US" w:eastAsia="zh-CN"/>
        </w:rPr>
        <w:t>技术</w:t>
      </w:r>
      <w:r>
        <w:rPr>
          <w:rFonts w:hint="eastAsia" w:ascii="仿宋_GB2312" w:hAnsi="仿宋_GB2312" w:eastAsia="仿宋_GB2312" w:cs="仿宋_GB2312"/>
          <w:kern w:val="0"/>
          <w:sz w:val="32"/>
          <w:szCs w:val="32"/>
        </w:rPr>
        <w:t>系、汽车服务系、数控技术系、</w:t>
      </w:r>
      <w:r>
        <w:rPr>
          <w:rFonts w:hint="eastAsia" w:ascii="仿宋_GB2312" w:hAnsi="仿宋_GB2312" w:eastAsia="仿宋_GB2312" w:cs="仿宋_GB2312"/>
          <w:kern w:val="0"/>
          <w:sz w:val="32"/>
          <w:szCs w:val="32"/>
          <w:lang w:val="en-US" w:eastAsia="zh-CN"/>
        </w:rPr>
        <w:t>教育服务系、</w:t>
      </w:r>
      <w:r>
        <w:rPr>
          <w:rFonts w:hint="eastAsia" w:ascii="仿宋_GB2312" w:hAnsi="仿宋_GB2312" w:eastAsia="仿宋_GB2312" w:cs="仿宋_GB2312"/>
          <w:kern w:val="0"/>
          <w:sz w:val="32"/>
          <w:szCs w:val="32"/>
        </w:rPr>
        <w:t>升学一部、升学二部。每个系部下设若干专业，全校共有16个专业。学校专业设置涉及加工制造、交通运输、农林渔牧、旅游服务、财经商贸、文化艺术等十个专业大类，覆盖一、二、三产业，专业设置总体上呈现“涉及大类多、覆盖产业广、专业设置全”的特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表1：学校专业设置现状表</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宋体"/>
          <w:color w:val="auto"/>
          <w:kern w:val="0"/>
          <w:sz w:val="28"/>
          <w:szCs w:val="28"/>
          <w:lang w:eastAsia="zh-CN"/>
        </w:rPr>
      </w:pPr>
      <w:bookmarkStart w:id="0" w:name="_Hlk492129975"/>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表1：学校专业设置现状表</w:t>
      </w:r>
    </w:p>
    <w:tbl>
      <w:tblPr>
        <w:tblStyle w:val="12"/>
        <w:tblW w:w="8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2910"/>
        <w:gridCol w:w="1960"/>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专业类别</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专业名称</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在校生数</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农林渔牧类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现代农艺技术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78</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畜牧兽医</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420</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加工制造类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电气运行与控制</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174</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省品牌专业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示范性专业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焊接技术应用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机电技术应用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499</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省品牌专业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示范性专业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数控技术应用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459</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省品牌专业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示范性专业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交通运输类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汽车运用与维修</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937</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品牌专业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示范性专业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财经商贸类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电子商务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384</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会计算化</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396</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文化艺术类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服装设计与工艺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143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品牌专业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医药卫生类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护理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437</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信息技术类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计算机应用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847</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土木水利类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建筑工程施工</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219</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示范性专业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旅游服务类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旅游服务与管理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291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中餐烹饪</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372</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教育类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学前教育</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743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规范化专业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合计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val="en-US" w:eastAsia="zh-CN"/>
              </w:rPr>
              <w:t>6412</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color w:val="auto"/>
                <w:kern w:val="0"/>
                <w:sz w:val="24"/>
                <w:szCs w:val="24"/>
                <w:lang w:eastAsia="zh-CN"/>
              </w:rPr>
            </w:pPr>
          </w:p>
        </w:tc>
      </w:tr>
      <w:bookmarkEnd w:id="0"/>
    </w:tbl>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农林渔牧类专业是学校开办历史最早的老牌特色专业，主要服务于临沭县现代农业发展。经过三十多年的建设，学校农林渔牧类专业已经具备了很强的专业实力，特别是2015年投资建成的动物医院，为这个专业的发展增添了新的活力。近年来，除全日制学历教育外，还重点进行了针对全县农业人口的非全日制学历教育和农村富裕劳动力人口的转移培训，其把课堂办到田间地头的做法曾被《中国教育报》报道，深受临沭农民群众的欢迎。该类专业共有现代农艺和畜牧兽医两个专业，实训设备价值达200余万元，专任专业教师16名，其中高级职称教师8名，中级职称教师3名，“双师型”教师14名，师资力量比较强，专业的发展在本市同类学校中处于领先位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加工制造类专业是学校的强项专业，规模庞大，师资优良，设备先进，改革领先，已经形成加工、安装、调试、维修等多样化的技术结构。数控技术应用、机电技术应用、电气运用与控制三个专业是山东省品牌专业，实训设备价值达1700万元，专任专业教师42人，其中，高级职称教师8人、中级职称教师16人、“双师型”教师37人。专业实训设备充足、师资力量强、办学特色鲜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交通运输类的汽车运用与维修专业是山东省品牌专业，办学形式除有普通中专、职业中专、“3+2” 专科外，还有我校唯一的“3+4”本科贯通培养，是近几年发展速度快，深受学生、家长和用人企业欢迎的专业，在校生达900多人，是我校全日制在校生人数最多的专业。现有实训设备价值1100余万元，专任专业教师28人，其中，高级职称教师7人、中级职称专业12人、“双师型”教师21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信息技术类的计算机应用专业是临沂市重点专业、国家级示范校重点建设专业，现有与联想集团联合举办的联想专班、与武汉视野联合举办的平面设计方向班以及普通计算机类的软件与信息服务班。实训设备价值达400万元，专任专业教师11人，其中，高级职称教师3人、中级职称教师6人、“双师型”教师9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旅游服务类专业是学校的新兴专业。旅游服务类专业现有实训设备价值达100余万元，共有专业教师13名，其中高级职称教师3名，中级职称教师8名，“双师型”教师3名。该专业与山东蓝海酒店管理集团实现了长期校企合作关系，毕业生供不应求，规模与质量持续提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此外，学校的学前教育、服装设计与工艺、会计电算化、建筑工程施工等专业，近几年也投入了数千万元进行教学设备建设，并有计划地引进、培训、外聘专业教师，稳定专业规模，在培养模式、教学模式、课程建设等方面的改革创新也取得一定成绩，质量稳步提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val="en-US" w:eastAsia="zh-CN"/>
        </w:rPr>
        <w:t>二</w:t>
      </w:r>
      <w:r>
        <w:rPr>
          <w:rFonts w:hint="eastAsia" w:ascii="楷体_GB2312" w:hAnsi="楷体_GB2312" w:eastAsia="楷体_GB2312" w:cs="楷体_GB2312"/>
          <w:b w:val="0"/>
          <w:bCs/>
          <w:kern w:val="0"/>
          <w:sz w:val="32"/>
          <w:szCs w:val="32"/>
        </w:rPr>
        <w:t>）专业建设</w:t>
      </w:r>
      <w:r>
        <w:rPr>
          <w:rFonts w:hint="eastAsia" w:ascii="楷体_GB2312" w:hAnsi="楷体_GB2312" w:eastAsia="楷体_GB2312" w:cs="楷体_GB2312"/>
          <w:b w:val="0"/>
          <w:bCs/>
          <w:kern w:val="0"/>
          <w:sz w:val="32"/>
          <w:szCs w:val="32"/>
          <w:lang w:val="en-US" w:eastAsia="zh-CN"/>
        </w:rPr>
        <w:t>主要成绩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1.“三全育人”体系更加成熟。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学校坚持“德技双馨，追求卓越”的育人观，凝聚“立德树人，铸匠兴业”的核心价值体系，创新“133”德育工作法,实施“德育千分制”等学生自主管理的德育量化考核机制，打造班主任、教师、家长全员参与的德育教育共同体，强化学生养成教育，营造了人人皆可成才、人人尽展其才的良好环境，为每一个学生创造了人生出彩的机会，实现了“学会做人、学会做事、学会学习、学会技能、学会生存、学会创业”的育人目标。学校坚持教育育人、管理育人、服务育人，积极探索思政课程改革，大力推进课程思政建设，形成了以思想理论课为核心、以专业教育课为辐射的思政教育课程体系，建设课程思政项目5门，形成了思政课程与课程思政的有机协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2.专业布局进一步优化。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十三五”期间，学校优化专业布局，新增中餐烹饪、电子商务、计算机应用、电气运行与控制等专业，专业设置进一步优化，专业布局进一步合理。学校建有国家级示范性专业4个，省级品牌专业4个，市级品牌专业6个，省级示范性专业7个，规范化专业3个，省级现代学徒制试点专业1个，市级现代学徒制试点专业1个；国家1+X证书制度试点项目8个，省技艺传承创新平台2个；建有机电技术应用、数控技术应用、汽车运用与维修、服装设计与工艺、现代农艺技术、会计电算化、旅游与服务、学前教育、建筑工程施工等10个专业（群），涵盖23个专业方向。其中，“三二连读”中高职贯通培养专业9个，“3+4”中职本科贯通培养专业1个。</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3.课程体系更加完善。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各专业形成各具特色的人才培养、课程体系、教学模式，开发校本教材152门，其中《服装典型零部件制作工艺》获省职业院校优秀校本教材二等奖；在临沂市牵头开发汽修专业立体化教材6门，并被省教育厅列为规划教材，进入省职业教育目录；参与开发机电、计算机、数控专业立体化教材16门并在全省推广使用；教学资源库总量达12.2T；建设省级精品资源共享课程1门；承担省级职业教育教学改革研究项目6个，获得山东省教学成果二等奖2项，山东省教学成果三等奖1项；教师在省级以上刊物发表论文154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4.师资队伍素质全面提升。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现有专任教师317人，专任教师师生比1:19.68,专业专任教师数191人，聘任企业一线兼职教师43人，师资队伍数量符合各级教师配置标准，能满足教育教学需要。学校专业教师占专任教师比例达60.25%，专业教师在各专业分配中与专业规模相适应；专任教师中硕士及以上学位24人，占专任教师7.57%，本科及以上学历317人，学历达标率100%；高级讲师、正高级讲师80人，高级职称占专任教师25.24%，中级职称125人，中级职称占专任教师39.43%。学校专业教师中“双师型”教师达到73.3%以上，有全国职教名师1人、齐鲁名师（名校长）3人、省职教百名杰出教师2人、山东省教学能手2人、山东省职业教育专家库成员6人、国家级大赛裁判2人、省级大赛裁判2人、市级大赛裁判35人、沂蒙名师（名校长）5人、临沂市教学能手23人、省级优秀教学团队3个。</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5.教学设施条件更加完备</w:t>
      </w:r>
      <w:r>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校建设了汽车维修、机械加工、数控加工、服装加工、焊接技术、电子商务、会计电算、酒店管理、建筑施工、护理、现代农艺、畜牧兽医等高水平的20个校内实训基地，建有115个实习实训车间和实训室，实训仪器设备3590台套，教学仪器设备总值10337.51万元，生均设备值1.66万元。实施产教深度融合，与校企合作企业联合建设23处稳定的校外实习实训和高质量就业基地。拥有计算机1872台，其中学生用计算机1304台，教师用计算机568台，校园网出口总带宽达到1100Mbps，数字化教学资源库总量达到12.2TB，有满足教学、实习实训使用的各类软件、仿真模拟系统，拥有多媒体教室数185个，录播室、智慧教室、3D设计室共4个；所有教室、实训室均配备了智慧黑板等多媒体设备。</w:t>
      </w:r>
      <w:bookmarkStart w:id="1" w:name="_Hlk85446137"/>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拥有印刷图书189576册，生均图书30.40册，专业图书64859册，电子图书386GB，教师阅览室座位数110个，学生阅览室座位数320个。</w:t>
      </w:r>
      <w:bookmarkEnd w:id="1"/>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6.人才培养质量显著提高。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就业班</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定向、订单培养比例达90%以上，毕业生就业率98%以上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对口就业率达90%以上，用人单位对于学生整体素质满意度为100%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学校连续12年获得临沂市职业院校技能大赛中团体总分第一名，连续19年保持春季高考临沂市同类学校本科进线数第一名，18名师生在全国职业院校技能大赛中获奖，161名师生在山东省职业院校技能大赛中获奖，755名师生在临沂市职业院校技能大赛中获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其中荣获国家级一等奖4人次，二等奖6人次，三等奖8人次，省级一等奖18人次、二等奖46人次、三等奖97人次，累计139名同学通过技能大赛成为技能拔尖人才，免试圆了大学梦，促进了学校整体人才培养质量逐年提升，为社会培养了大批齐鲁工匠后备人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（三）专业建设主要问题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t>1.专业结构仍不合理。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近年来，虽然逐年撤销掉一些老旧专业和招生困难的专业，申报新开一些社会需求旺盛的专业，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但专业与区域主导产业匹配度仍然偏低，专业服务地方产业的能力仍显不足，加工制造类专业招生规模有缩小趋势，农林牧渔类专业规模效益不佳，与新兴产业对接专业开发能力不足</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t>2.专业影响力仍然不足。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专业数量虽有所增加，但专业建设的整体水平有待提高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部分专业存在着定位不准确、目标不明确。部分传统老专业不能适应社会经济发展，改造任务还比较艰巨，需要不断调整和改革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，还缺乏全国品牌专业</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3</w:t>
      </w:r>
      <w:r>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t>.内涵建设的深度有待进一步挖掘</w:t>
      </w: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课程体系建设上，传统的学科体系尚未完全打破，还不能彻底做到以职业岗位能力为起点设置课程体系。不能够及时淘汰不适应社会发展的课程。还存在对职业岗位能力诸要素缺乏深度分析，课程的“实际、实用、实践”的原则不强，教学资源建设力度较弱、共享程度不高。省级及以上一流专业、骨干专业、重点专业、专业综合改革项目、共享性教学资源、教学成果奖等标志性成果的申报与建设突破力度不够。高水平专业(群)建设与发展规划还需进一步优化和突破，学生规模和软硬件建设仍需加强，特色化建设和区域服务能力还需提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t>4.专业教师缺乏较强的实践能力。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从师资结构看，我校的教师绝大多数是从院校到院校，缺乏实践工作经验。尽管近年来推行教师下企业锻炼计划，但锻炼成果在教学中的应用效果彰显不足，且考取相应专业、行业资格证书的数量仍然偏少。省级及以上优秀教学团队、教学名师、职教名师、教学能手等标志性成果的申报与建设突破力度不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t>5.实践教学水平尚需进一步提升。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全校性的实习实训教学的公共平台尚未健全，实训室开放“项目导向、任务驱动”的教学模式仍需进一步深化，与校外实训基地的实训合作机制还需要完善。实训开出质量有待提高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综合性、设计性实训项目比例不多，实践教学系列教材或教学资料建设的基础还相当薄弱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。实践教学人员总体素质尚不能完全适应培养高素质技术技能人才的需求，结构不尽合理，水平有待提高。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bookmarkStart w:id="2" w:name="_Toc86049096"/>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、机遇与挑战</w:t>
      </w:r>
      <w:bookmarkEnd w:id="2"/>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（一）面临的机遇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1.职业教育改革发展为学校专业建设发展带来新机遇。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国家职业教育改革实施方案》出台后，职业教育的类型定位得到明确：“把发展中等职业教育作为普及高中阶段教育和建设中国特色职业教育体系的重要基础”“指导各地优化中等职业学校布局结构，科学配置并做大做强职业教育资源。”；《教育部等九部门关于印发&lt;职业教育提质培优行动计划（2020-2023年）的通知&gt;》提出：“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职业学校办学水平、人才培养质量和就业质量整体提升，职业教育的吸引力和社会认可度大幅提高，有效支撑地方经济社会发展和国家重大战略。”“到2023年，遴选1000所左右优质中职学校和3000个左右优质专业”；《山东省教育厅等11部门关于办好新时代职业教育的十条意见》明确：“实施职业院校水平提升工程，提升职业院校整体办学水平”；《教育部 山东省人民政府关于整省推进提质培优建设职教育创新发展高地的意见》进一步提出：“优化职业院校和专业布局结构，重点建设……50所左右高水平中职学校”“全省重点建设300个左右高水平中职专业（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2.区域产业转型升级对学校专业发展带来的新机遇。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前新旧动能转换、传统产业转型升级等区域发展战略的实施，特别是山东省新一代信息技术、高端装备、新能源新材料等十强产业，临沂市先进装备制造、高端化工、现代金融等十大优势产业以及临沭县高端化工、高端装备、现代高效农业等七优产业，迫切需要大批创新型、发展型、复合型技术技能人才，同时对人才培养提出了新的更高需求，要求学校在技能人才培养理念、规格、对象、质量、方法、途径等诸多方面进行变革，需要从专业布局到课程设置，从教学安排到素养提升等领域实现同步转型，与区域经济同频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（1）乡村振兴再提速。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沂市是山东省人口第一大市，也是农业大市，现有耕地面积1000万亩，乡村人口909.4万，农户278.5万户。通过几十年的发展，临沂农业生产结构已逐渐由以种植业为主的单一传统农业，逐步转变为农林牧副渔综合发展的多元化农业，基本实现了产加销一条龙经营、贸工农一体化发展，农业经济保持平衡较快发展，“生态沂蒙山，优质农产品”的区域品牌已在全国叫响。临沂将围绕打造长三角地区、粤港澳大湾区农产品供应基地，提出建立一个农产品数据库、打造一批知名品牌、推行一组规范标准、健全一套产销体系的“四个一”路径。围绕打造长三角地区休闲旅游“后花园”，推出“春季赏花踏青游、夏季暑期研学游、秋季采摘登高游、冬季温泉民俗游”精品线路。围绕打造长三角地区产业转移“大后方”，实行“线上洽谈+线下对接”的“双线”推进模式。力争到“十四五”末，面向长三角地区的农副产品销售额、接待游客量年均分别增长12%和10%以上，把临沂培育成全国闻名的绿色食品产业基地、长三角重要旅游目的地城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临沭县也实现了现代农业稳步发展。全程机械化、水肥一体化加快推进，被评为全国首批主要农作物生产全程机械化示范县，建成水肥一体化示范园区15个。新发展优质农产品基地22万亩。新增各类经营主体1863家，培育市级以上农业龙头企业21家。创建地理标志2个，认证“三品一标”61个。今后，临沭县农业将以“贸、工、农一体化，产、供、销一条龙”与二三产业融合发展为指导思想，以培育“柳编、肥料、脱水蔬菜、农机”四大涉农产业集群为目标，促进一二三产业协调发展。通过延伸产业链，加大产业结构调整力度，创新经营方式，提升装备水平，深入推进农业供给侧结构性改革，推动农业生产向安全、高效、绿色方向转型，做特、做优现代农业。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（2）产业结构再优化。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今后五年，临沂市委提出了“横向抓布局、纵向抓强链、外部抓赋能、内部抓内涵”的思路，实施产业基础再造和产业链提升工程，突出“数字化引领、智能化改造、链条化延伸、融合化发展”导向，在产业优势领域精耕细作，避免新兴产业重复建设，初步形成“东钢、西木、南智、北食、中新兴”的重点产业格局，构建创新引领、要素集约、多元发展、多极支撑、环境友好的现代产业体系。力争到“十四五”末，全市八大传统产业总产值年均增长8%以上，培育千亿级支柱产业4个，战略性新兴产业产值占比达到30%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沭县已基本形成化工、机械、复混（合）肥、五金、柳制品、食品、酿酒、纺织等优势支柱产业。今后，将坚持以“转方式、调结构”为主线，按照“一产优、二产强、三产活”的发展思路，加强推进产业结构优化升级，构筑以传统优势产业为基础、高新技术产业为突破、服务业为强力引擎、高效生态农业为补充的新型产业体系，实现三次产业的协调、同步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（3）城镇化进程再推进。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沂市委、市政府积极推进城乡统筹协调发展,大力构建“四级联动”格局，以中心城区为核心、县城为支撑、小城镇为基础、农村新型社区为单元,积极推动城乡四级联动,坚持把城镇化作为“大临沂、新临沂”建设的主导战略。在优化“一心引领、三极联动、两轴集聚、多点相拥”市域城镇体系的基础上，提出精准对接长三角、粤港澳大湾区等重点区域，深度融入黄河流域生态保护和高质量发展、淮河生态经济带、淮海经济区、鲁南经济圈等区域战略，注重加强与省会经济圈、胶东经济圈的协调合作，加快推进以人为核心的新型城镇化，着力打造淮河生态经济带中心城市。力争到“十四五”末，全市常住人口城镇化率达到60%左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沭县也将坚持规划引领、产城融合，大力实施新型城镇化战略，全面推动中心城区、特色小城镇、新型农村社区、“美丽乡村”统筹协调发展，形成城乡一体发展新格局，到2025年，城镇人口达42万人，县城建成区面积达32平方公里，城镇化水平达63%以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因而，城镇化的步伐正以前所未有的速度在向前推进，大批临沂和临沭本土农民以及他们的后代将离开土地，走向城镇，走向非农产业，临沂和临沭人的身份在变——从农民到市民，所处的环境在变——从农村到城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（4）商贸物流业再提质。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临沂市是“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HYPERLINK "http://baike.baidu.com/item/%E4%B8%AD%E5%9B%BD%E7%89%A9%E6%B5%81%E4%B9%8B%E9%83%BD" \t "_blank" </w:instrTex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中国物流之都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”、“中国市场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HYPERLINK "http://baike.baidu.com/item/%E5%90%8D%E5%9F%8E" \t "_blank" </w:instrTex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名城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”，临沂商城是全国规模最大、物流覆盖面最广的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HYPERLINK "http://baike.baidu.com/item/%E5%B8%82%E5%9C%BA%E9%9B%86%E7%BE%A4" \t "_blank" </w:instrTex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市场集群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、中国北方最大的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HYPERLINK "http://baike.baidu.com/item/%E7%89%A9%E6%B5%81%E5%9F%BA%E5%9C%B0" \t "_blank" </w:instrTex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物流基地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场交易额年均增长21%，临沂商城市场交易额、物流总额分别达到4403亿元和6847亿元。今后五年，临沂将围绕发挥商贸服务型国家物流枢纽承载城市主体功能，融入国家“通道+枢纽+网络”物流运行体系，一体化推进“商、仓、流”，打造“一带一路”东方商都。“商”方面，坚持“线下抓布局优化、线上抓业态创新”，推动内贸与外贸、商贸与制造、交易与展会融合发展。“仓”方面，坚持“以商定仓、仓配一体”，实行智慧仓储三年行动计划，在国际陆港打造现代化仓储集聚区。“流”方面，坚持“提档升级、降本增效”，加强“陆向通道疏通、空中航线畅通、港口业务拓展、等级枢纽合作”，提升现代物流“专业化、网络化、集约化、智慧化、国际化”水平。力争到“十四五”末，20个以上专业批发市场进入行业细分市场领域全国10强，孵化培育垂直电商平台企业60家，建设以国际陆港为主要承载地的智慧化仓储设施500万平方米。临沂商城市场交易额、物流总额分别突破7000亿元、1万亿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最近几年，临沭县商贸物流、电子商务等产业也加快发展，澳林国际商贸城、鲁商城市综合体等项目投入运营，青云镇成为沂蒙淘宝第一镇，白旄西居、金柳、东朱崔成功创建中国淘宝村，电商发展、网商、网购3项指数连续两年居全市九县第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二）面临的挑战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职业教育面临高质量发展、临沂和临沭经济社会发展的新形势，对我校专业结构、数量和质量都提出了新的要求，提出一系列新挑战。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1.近年来从国家到山东省职业教育的一系列政策文件，对学校专业创新发展提出了巨大挑战。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习近平同志为核心的党中央站在党和国家发展全局的高度，把职业教育放在前所未有的突出位置，《国家职业教育改革实施方案》《教育部等九部门关于印发&lt;职业教育提质培优行动计划（2020-2023年）的通知&gt;》等国家重大改革和决策部署，使职业教育“由参照普通教育办学模式向企业社会参与、专业特色鲜明的类型教育转变”，这对学校办学提出了新要求和新挑战，也为中等职业教育发展带来了历史机遇。《教育部 山东省人民政府关于整省推进提质培优建设职教育创新发展高地的意见》为山东职业教育的发展提供了广阔前途。学校作为职业教育改革发展的前沿阵地，必须持续创新体制机制，紧跟发展政策步伐，服务国家、山东省的大战略，引领职业教育发展，提升服务区域产业发展能力，提高国际影响力，打造职业教育创新发展高地，建设特色鲜明的高水平中职学校成为新时代学校的历史使命和责任担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2.产业结构调整、优化和发展方式转变，对专业技能型人才培养的针对性与适应性提出新挑战。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临沂市委、市政府提出，五年内要将三次产业结构比例由高到低次序由“二、三、一”调整为“三、二、一”。随着临沂商城国际化的快速推进和全域旅游的推行，以商贸、物流以及旅游为代表的服务业将大发展，相应将引起商贸、旅游服务人才的大量需求。而随着全市八大传统产业总产值年均增长8%以上、培育千亿级支柱产业4个、战略性新兴产业产值占比达到30%。目标的实施，迫切需要职业教育主动对接产业结构变化，提高技能型人才培养的针对性与适应性，培养更多加工制造类技术技能型人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3.技术进步与产业升级，对专业技能型人才培养的质量与水平提出新挑战。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国务院颁布的《中国制造2025》，提出了十大重点发展领域，许多与临沂市“新兴产业倍增计划”和临沭县重点产业相契合，如新能源汽车、数控机床、农机装备、新材料、生物医药等。从技术与品质的角度，重点发展产业必然要发展生产技术，从劳动密集型转向技术密集型，也必然要提升产品品质，从生产低端产品为主转向高端产品为主。这两个转变必然带来新的就业岗位和新的就业方向，迫切需要职业教育培养掌握新知识、新技能的高素质劳动者，为重点发展产业输送知识型、发展型技能人才。所以，迫切需要职业教育以全面提高质量为核心，通过改革办学模式、人才培养模式、教育教学模式等，努力提高技能型人才的培养数量、质量与水平，使职业教育成为临沂和临沭产业发展不可或缺的重要创造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4.现代生态农业的加速发展，对相关涉农专业服务能力提出新挑战。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速发展现代农业，依靠传统的农民、基层农业科技人员和农村管理人员是不适合的，也是没有出路的。目前，临沂市现代农业推广体系不健全，基层农技推广部门专业人才流失严重，农村青壮年劳动力外出务工，在很大程度上制约着农业现代化的发展，农产品生产过程中普遍存在农药、化肥等农业投入品过量和使用不科学问题，造成了农业投入品的大量浪费，以及对农业生产环境和农产品的食用安全都是极大的威胁。这就需要职业教育更好地发挥作用，发展现代农艺技术、畜牧养殖等涉农专业，广泛开展农业从业人员的再培养、培训工作，改善人才结构，培养一大批懂技术、善经营、会管理的基层农业科技人员和农村管理人员，服务临沂和临沭现代农业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5.加快城镇化步伐，对专业服务农村劳动力转移和城镇居民社会服务提出新挑战。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推进城镇化的进程中，临沂市每年将有20万的本土农民以及他们的后代，也就是90后、00后的新生代农民要离开土地，走向城镇，走向非农产业。而这些农村劳动力向城镇与非农产业转移，不仅仅是居住地和身份的变化，而是生活方式与生存方式的变化。他们只有在接受一定的职业教育或职业培训、掌握了一技之长后，才能带着技能转移，才能在城市站稳脚跟，才能提高生存能力，顺利成为新市民和新的产业工人。所以，职业教育不但要面向学历教育，而且也要面向非学历教育特别是职业培训，服务农村劳动力转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镇化建设隐含的另外一个显著变化就是人居环境的改善。“特色小镇”建设、“美丽乡村”建设都离不开人居环境的规划、设计、建设。同时，城镇居民也需要更好社区教育和服务，所以，建设好一些与乡村建设、环境艺术、社区服务有关的专业（专门化），如建筑施工、计算机平面设计、学前教育、护理等专业也是十分必要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1"/>
        <w:rPr>
          <w:rFonts w:hint="default"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6.社会经济的健康、持续发展，对专业满足人民群众的多样化、高质量教育需求提出新挑战。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职业教育的质量是在一定社会条件下，职业教育所培养的人满足经济社会发展需要，以及满足人们求职、求善、求发展需要的程度。所以，职业教育既要服务区域经济社会发展特别是产业发展，又要服务人的终身发展。一句话，只有“就业有优势、升学有希望、创业有本领、终身发展有基础”的职业教育，才是好的职业教育，才是老百姓欢迎的、有吸引力的职业教育。所以，临沭职业教育需要更加丰富的办学形式，架构更加通畅、更加便捷、更有特色的人才成长“立交桥”，满足人民群众对职业教育的多样化需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、学校专业发展的指导思想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习近平新时代中国特色社会主义思想为指导，贯彻落实全国职业教育大会要求和《国家职业教育改革实施方案》《教育部山东省人民政府关于整省推进提质培优建设职业教育创新发展高地的意见》、临沂市和临沭县教育事业“十四五”规划等文件精神，牢固树立新发展理念，坚持服务高质量发展，以立德树人为根本,以服务发展为宗旨,以促进就业为导向，适应产业转型与技术升级，优化学校专业布局与培养模式，建立紧密对接产业链、创新链的现代职业教育专业集群，坚持立足临沭、服务临沂、面向山东、响应“一带一路”倡议等国家任务，为山东省“十强”、临沂市“十优”和临沭县“七优”产业提供技术技能人才支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四、学校专业发展思路和目标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（一）发展思路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面向临沂市重点产业和经济社会发展需求，按照“1+2+N”格局构建专业（群），实行分类动态管理，以高水平化专业（群）带动其他专业同步发展，实现全校专业实力整体提升。紧跟产业前沿，依据专业链对接产业链，调整、改造、整合已有专业，以“信息技术+”升级传统专业，开发数字经济催生的新兴专业。通过修订人才培养方案和课程标准，深化专业课程改革，调整课程结构，更新课程内容，实现人才培养的准确定位。开发和使用配套教学资源，实现课程体系重建，通过校企合作、深度融合，共建一批融入产业先进要素的开放共享的专业（群）教学标准、教学资源及实践教学基地。加强高水平教学团体建设，开发精品在线课程，充分利用教学资源及实践教学基地，为专业发展和人才培养提供有力支撑，为现代高端产业发展培养创新型、发展型、复合型高素质技术技能人才，助力临沂市乃至山东省新旧动能转换、产业升级改造等重大工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（二）发展目标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形成对接产业、动态调整、自我完善的专业（群）建设发展机制，实现专业链和产业链的有效对接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实现学校专业设置与临沂市域内重点产业匹配度达到100%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升级机电技术应用、现代农艺、会计电算化等传统专业，新增以数字经济为特点的化工仪表与自动化、新能源汽车运用与维修、物联网技术应用3个新兴专业。新技术、新工艺、新规范等产业先进元素深度融入人才培养方案和课程标准，人才培养目标定位更加准确。实现课程体系重建，职业标准、行业标准和岗位规范融入课程内容。打造成一支高水平的教学创新团队，实现专业（群）的精品课程、教学资源和实践教学基地向全省共建共享，构建起创新型、发展型、复合型技术技能人才培养体系，</w:t>
      </w:r>
      <w:bookmarkStart w:id="3" w:name="_Hlk85960401"/>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建成5门国家级、10门省级精品在线开放课程，10个专业教学资源库和4个实践教学基地</w:t>
      </w:r>
      <w:bookmarkEnd w:id="3"/>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。建成1个数控技术应用国家级高水平专业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数控技术应用、汽车运用与维修2个省级高水平专业。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（表2：专业设置、调整、优化计划表、表3：专业发展的主要标志性指标）</w:t>
      </w:r>
    </w:p>
    <w:p>
      <w:pPr>
        <w:widowControl/>
        <w:shd w:val="clear" w:color="auto" w:fill="FFFFFF"/>
        <w:spacing w:line="560" w:lineRule="exact"/>
        <w:ind w:firstLine="640" w:firstLineChars="200"/>
        <w:jc w:val="left"/>
        <w:rPr>
          <w:rFonts w:hint="eastAsia" w:ascii="仿宋" w:hAnsi="仿宋" w:eastAsia="仿宋" w:cs="宋体"/>
          <w:color w:val="000000" w:themeColor="text1"/>
          <w:kern w:val="0"/>
          <w:sz w:val="32"/>
          <w:szCs w:val="32"/>
          <w:lang w:val="en-US" w:eastAsia="zh-CN"/>
          <w14:textFill>
            <w14:solidFill>
              <w14:schemeClr w14:val="tx1"/>
            </w14:solidFill>
          </w14:textFill>
        </w:rPr>
        <w:sectPr>
          <w:pgSz w:w="11906" w:h="16838"/>
          <w:pgMar w:top="1531" w:right="1417" w:bottom="1474" w:left="1588" w:header="851" w:footer="992" w:gutter="0"/>
          <w:pgNumType w:fmt="numberInDash" w:start="1"/>
          <w:cols w:space="425" w:num="1"/>
          <w:docGrid w:type="lines" w:linePitch="312" w:charSpace="0"/>
        </w:sectPr>
      </w:pPr>
    </w:p>
    <w:p>
      <w:pPr>
        <w:widowControl/>
        <w:shd w:val="clear" w:color="auto" w:fill="FFFFFF"/>
        <w:spacing w:line="560" w:lineRule="exact"/>
        <w:ind w:left="0" w:leftChars="0" w:right="0" w:rightChars="0" w:firstLine="0" w:firstLineChars="0"/>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表2：专业设置、调整、优化计划表</w:t>
      </w:r>
    </w:p>
    <w:tbl>
      <w:tblPr>
        <w:tblStyle w:val="12"/>
        <w:tblW w:w="9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5"/>
        <w:gridCol w:w="1707"/>
        <w:gridCol w:w="1708"/>
        <w:gridCol w:w="1650"/>
        <w:gridCol w:w="1258"/>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2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专业名称</w:t>
            </w:r>
          </w:p>
        </w:tc>
        <w:tc>
          <w:tcPr>
            <w:tcW w:w="77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设置、调整、优化措施及时间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2021年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2022年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2023年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2024年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现代农艺技术</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改造：作物生产技术</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畜牧兽医</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改造：畜禽生产技术</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电气运行与控制</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改造：电气设备运行与控制</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焊接技术应用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撤消</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机电技术应用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升级：增加服务机器人、无人机内容</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数控技术应用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升级：增加智能制造内容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汽车运用与维修</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升级：增加新能源汽车内容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电子商务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升级：增加直播电商内容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会计算化</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改造：会计事务</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服装设计与工艺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保留</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护理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增加：智慧养老内容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计算机应用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保留</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建筑工程施工</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保留</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旅游服务与管理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保留</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中餐烹饪</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保留</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学前教育</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改造：幼儿保育</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化工仪表及自动化</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新增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新能源汽车运用与维修</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新增</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物联网技术应用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新增</w:t>
            </w:r>
          </w:p>
        </w:tc>
      </w:tr>
    </w:tbl>
    <w:p>
      <w:pPr>
        <w:widowControl/>
        <w:shd w:val="clear" w:color="auto" w:fill="FFFFFF"/>
        <w:spacing w:line="560" w:lineRule="exact"/>
        <w:ind w:left="0" w:leftChars="0" w:right="0" w:rightChars="0" w:firstLine="0" w:firstLineChars="0"/>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表3：专业发展的主要标志性指标</w:t>
      </w:r>
    </w:p>
    <w:tbl>
      <w:tblPr>
        <w:tblStyle w:val="12"/>
        <w:tblW w:w="844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0"/>
        <w:gridCol w:w="3242"/>
        <w:gridCol w:w="1131"/>
        <w:gridCol w:w="1154"/>
        <w:gridCol w:w="1269"/>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序号</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指标名称</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b/>
                <w:bCs/>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级别</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b/>
                <w:bCs/>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数量</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楷体_GB2312" w:hAnsi="楷体_GB2312" w:eastAsia="楷体_GB2312" w:cs="楷体_GB2312"/>
                <w:b/>
                <w:bCs/>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bidi="ar-SA"/>
                <w14:textFill>
                  <w14:solidFill>
                    <w14:schemeClr w14:val="tx1"/>
                  </w14:solidFill>
                </w14:textFill>
              </w:rPr>
              <w:t>责任部门</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24"/>
                <w:szCs w:val="24"/>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高水平专业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高水平专业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3</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技艺技能传承创新平台</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4</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规划教材</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3</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5</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规划教材</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4</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6</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精品在线开放课程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4</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7</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精品在线开放课程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7</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8</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继续教育网络课程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9</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继续教育网络课程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5</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10</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优秀教材建设奖</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11</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职业教育教师教学创新团队</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12</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职业教育教师教学创新团队</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13</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思想政治课教学创新团队</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14</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名师工作室</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15</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教学名师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16</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青年技能名师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17</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课程思政教学名师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18</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职业教育教学研究项目</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t>教科室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19</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职业教育教学成果奖</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t>教科室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20</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教师教学能力大赛</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信息中心</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21</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教师教学能力大赛</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7</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信息中心</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22</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职业院校技能大赛</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6</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大赛中心</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23</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职业院校技能大赛</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15</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大赛中心</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24</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学生信息类比赛</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3</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信息中心</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25</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“1+X”证书试点项目</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6</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26</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思想政治课示范课堂</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27</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思想政治课示范课堂</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28</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“课堂革命”典型案例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29</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“课堂革命”典型案例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30</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课程思政教育案例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国家级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default"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31</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课程思政教育案例</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省级</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教务处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left"/>
              <w:textAlignment w:val="auto"/>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pPr>
          </w:p>
        </w:tc>
      </w:tr>
    </w:tbl>
    <w:p>
      <w:pPr>
        <w:widowControl/>
        <w:shd w:val="clear" w:color="auto" w:fill="FFFFFF"/>
        <w:spacing w:line="560" w:lineRule="exact"/>
        <w:ind w:firstLine="643" w:firstLineChars="200"/>
        <w:jc w:val="left"/>
        <w:outlineLvl w:val="1"/>
        <w:rPr>
          <w:rFonts w:hint="eastAsia" w:ascii="楷体" w:hAnsi="楷体" w:eastAsia="楷体" w:cs="宋体"/>
          <w:b/>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五、</w:t>
      </w:r>
      <w:r>
        <w:rPr>
          <w:rFonts w:hint="eastAsia" w:ascii="黑体" w:hAnsi="黑体" w:eastAsia="黑体" w:cs="黑体"/>
          <w:kern w:val="0"/>
          <w:sz w:val="32"/>
          <w:szCs w:val="32"/>
          <w:lang w:val="en-US" w:eastAsia="zh-CN"/>
        </w:rPr>
        <w:t>主要</w:t>
      </w:r>
      <w:r>
        <w:rPr>
          <w:rFonts w:hint="eastAsia" w:ascii="黑体" w:hAnsi="黑体" w:eastAsia="黑体" w:cs="黑体"/>
          <w:kern w:val="0"/>
          <w:sz w:val="32"/>
          <w:szCs w:val="32"/>
        </w:rPr>
        <w:t>工作</w:t>
      </w:r>
      <w:r>
        <w:rPr>
          <w:rFonts w:hint="eastAsia" w:ascii="黑体" w:hAnsi="黑体" w:eastAsia="黑体" w:cs="黑体"/>
          <w:kern w:val="0"/>
          <w:sz w:val="32"/>
          <w:szCs w:val="32"/>
          <w:lang w:val="en-US" w:eastAsia="zh-CN"/>
        </w:rPr>
        <w:t>任务与</w:t>
      </w:r>
      <w:r>
        <w:rPr>
          <w:rFonts w:hint="eastAsia" w:ascii="黑体" w:hAnsi="黑体" w:eastAsia="黑体" w:cs="黑体"/>
          <w:kern w:val="0"/>
          <w:sz w:val="32"/>
          <w:szCs w:val="32"/>
        </w:rPr>
        <w:t>措</w:t>
      </w:r>
      <w:r>
        <w:rPr>
          <w:rFonts w:hint="eastAsia" w:ascii="黑体" w:hAnsi="黑体" w:eastAsia="黑体" w:cs="黑体"/>
          <w:kern w:val="0"/>
          <w:sz w:val="32"/>
          <w:szCs w:val="32"/>
          <w:lang w:val="en-US" w:eastAsia="zh-CN"/>
        </w:rPr>
        <w:t>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专业设置与结构调整优化是一项系统工程，涉及到学校工作的方方面面，也需要教育行政部门和社会各界的大力支持。主要任务与措施是：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val="en-US" w:eastAsia="zh-CN"/>
        </w:rPr>
        <w:t>一</w:t>
      </w: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val="en-US" w:eastAsia="zh-CN"/>
        </w:rPr>
        <w:t>强化专业建设，形成与地方产业紧密对接的“1+2+N”专业布局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1.进一步规范专业设置与优化工作，调整学校办学指导委员会、各专业教学指导委员会，完善专业设置与优化的组织机构, 定期开展活动，制定专业设置与优化、评价、退出等相关制度，加强专业调整优化调研、论证、决策。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2.每年开展一次区域经济社会发展、产业结构变化和人才需求市场调研，评估专业办学，制定专业调整优化方案，为学校专业设置、人才培养方案制定、专业教学提供决策依据。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继续做大做强与“山东十强”“临沂十优”“临沭七优”产业紧密相关的计算机应用、电气运行与控制、机电技术应用、数控技术应用、护理、现代农艺技术、中餐烹饪、旅游服务与管理、会计电算化、建筑工程施工、电子商务等专业（方向），做强做优汽车运用与维修、机电技术应用、数控技术应用、电气运行与控制等省级品牌专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紧密对接“十强”“十优”“七优”和新兴产业发展，对接临沂国际物流商贸城建设、高端化工产业和幼儿保教服务产业，优化现有专业（方向），2021年对现代农艺技术、畜牧兽医、学前教育竺等专业进行改造；2022年新增工业分析与检验专业；对接智能制造产业、新能源汽车普及，2023年新增工业机器人技术应用、新能源汽车维修等专业或方向，2024年新增物联网技术应用专业；学校专业18个的规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5.加强涉农专业建设，进一步提升师资力量和实训条件，做大做强现代农艺技术（含畜牧兽医方向）专业，联合社会力量配套建设涉农专业高效农业示范园、动物医院等产教融合实验实习基地。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健全专业建设对接产业、动态调整、自我完善机制，分析论证区域经济社会发展和产业变化情况，进一步整合特色品牌专业（方向），实现人才培养供给侧和产业需求侧结构要素全方位融合，将专业建设向更高水平聚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制定《学校高水平专业（群）建设方案》，围绕“山东十强”“临沂十优”“临沭七优”产业，依托学校特色品牌专业，明确高水平专业建设目标、实施路径和保障措施，将数控技术应用专业（群）建设成国家高水平专业（群），将汽车运用与维修、机电技术应用、数控技术应用3个专业（群）建成山东省高水平中职专业（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val="en-US" w:eastAsia="zh-CN"/>
        </w:rPr>
        <w:t>二</w:t>
      </w:r>
      <w:r>
        <w:rPr>
          <w:rFonts w:hint="eastAsia" w:ascii="楷体_GB2312" w:hAnsi="楷体_GB2312" w:eastAsia="楷体_GB2312" w:cs="楷体_GB2312"/>
          <w:b w:val="0"/>
          <w:bCs/>
          <w:kern w:val="0"/>
          <w:sz w:val="32"/>
          <w:szCs w:val="32"/>
        </w:rPr>
        <w:t>）改革人才培养模式，构建灵活多样的育人模式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推进现代学徒制实施。在继续推进汽车运用与维修专业省级现代学徒制试点项目基础上，在中餐烹饪与营养膳食、化工仪表与自动化、数控技术应用、建筑工程施工等专业推广现代学徒制人才培养模式。深化现代学徒制试点改革，校企共同制定人才培养方案、共同开发课程、共同组织教学、共同考核评价，实施校企联合、招生与招工同步进行、学生和学徒两种身份、学校教师和企业师傅两个导师、学校和企业两个学习场所。建立健全与现代特色现代学徒制相适应的教学管理制度，形成现代学徒制推进长效机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推进“1+X”制度实施。根据职业技能等级标准和专业教学标准要求，将证书培训内容有机融入专业人才培养方案，优化课程设置和教学内容，实现“1”和“X”的有机衔接，力争“1+X”证书制度基本覆盖全校所有专业和学生，获取“1+X”证书的学生占试点学生总数的90%以上。统筹教学组织与实施，充分发挥学校专业资源和考核平台的优势，在面向本校学生开展培训的同时，积极为社会人员和区域学校提供培训考核服务，把学校建设成为区域内1+X证书考核认证中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继续推进订单定向培养。在做好奇瑞汽车、众泰汽车、蓝海酒店等订单班基础上，继续深入与市域内重点企业合作，不断创新合作形式，深化合作内容，提升服务能力，不断扩大订单定向培养的专业和规模，订单定向培养专业、在校学生覆盖面达到技能专业教学的90%以上，为“临沂十优”“临沭七优”产业提供更多更好的技术技能人才支撑，更好地服务于当地经济社会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实施人才培养模式创新。推动各专业创新具有自身特色的人才培养模式，开展“引企入教”改革，吸引企业深度参与专业人才培养过程，以企业真实工作任务、工作项目组织教学内容，在岗位实战中提升学生职业能力和职业素质。如继续推进服装设计与工艺专业的“三学段，早介入、校企耦合”、汽车运用与维修专业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HYPERLINK \l "_Toc366918374" </w:instrTex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“三级能力、二轮交替”中国特色学徒制、数控技术应用专业的“校企合作、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双元培养”、计算机应用专业的“边做边学习”等人才培养模式的优化和提升。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三）改革教学模式，构建有趣有效职场化课堂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强化理念引领。通过外派教师学习或聘请专家到校做报告等形式，组织教师深入学习行动导向、教学做一体等现代职业教育理论，使教师深刻领会现代职业教育教学模式的，牢牢树立课堂是教学的主阵地、课堂教学改革是教学改革的落脚点的改革思想，深入理解使用项目教学、案例教学、情境教学、模块化教学等职业教学方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2.实施示范带动。在实施过程中，及时发现典型，通过在学校教研组、系部、学校各层面逐级开展调研课、公开课、示范课、讲课比赛等活动，推出各种教学模式典型，为教师树立范式，让教师学习能直接运用。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全面普及应用。通过一段时间学习、带动，各专业、课程根据自身特点，选取合适的教学模式，广泛进行实施。如加工制造类专业侧重于项目式教学、商贸类专业侧生于案例式教学、信息类专业侧重于任务式教学、服务类专业侧重于情境式教学。学校组织教师相互听课、学习，成立专家组分类指导教师开展相应教学模式、教学方法在教学中推广实施并实现普遍使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总结提升特色。在全校全面普及、教师普遍熟练应用后，鼓励教师结合学校、专业、课程实际，积极开展教学模式融合、创新，打造出具有学校和专业特点，符合学校、专业实际的教学模式和教学方法，如机加工类专业“三阶段六环节项目式”教学模式。在此基础上，遴选省级、国家级“课堂革命”典型案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（四）加强课程建设，形成适应高素质技术技能人才成长的课程体系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推进“岗课赛证”融合。按照生产实际和岗位需求及时更新专业教学标准与课程标准,将新技术、新工艺、新规范、典型生产案例及时纳入教学内容，设计开发课程，构建模块化、系统化的实训课程体系。将技能竞赛成果转化为教学资源，将赛项设备转化为教学设备，赛项任务转化设计为教学项目，赛项标准转化完善为教学标准，赛项评价转化为教学评价。将职业技能等级证书、职业资格证书等标准融入课程体系,使学生在完成学业时既能获得毕业证书，也能获得职业技能等级等证书，提升毕业生在劳动力市场上的竞争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推进校企双方共同开发课程。根据企业岗位用人标准和国家职业资格标准，共同制定专业教学标准、课程标准，共同建设基于工作内容和典型工作过程的技术技能课程体系，共同开发与之匹配的活页式、工作手册式教材、网络课程、慕课等多维呈现的立体化教材，建立对接新知识、新技术、新工艺、新方法，形成教材三年一轮修订与动态调整的更新机制。共同开发专业基础类的“项目制•工作式”教材2 本和专业技能类的“模块化•活页式”教材2 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3.以“信息技术+”改造升级传统课程。依据国家教育信息化2.0发展要求，研究VR资源教学应用模式，实践VR技术融入职业教育所带来的“VR+职业教育”；依托国家资源库平台加强线上精品课程资源库建设，完成1 门省级数字化精品课程建设，开展线上线下混合式教学方式提升教学效果，打造“数字资源+智能课堂”教学平台。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选用、开发新型教材。借鉴立体教材开发经验，深入企业具体工作岗位，结合校企订单、定向、冠名、现代学徒制培养，与合作企业联合建立起与学校骨干教师、行业专家、企业一线技术骨干等共同参与的多元合作教材开发模式，以国家职业标准或专业教学标准为依据，以综合职业能力培养为目标，以典型工作任务为载体，以学生为中心，以职业能力清单为基础，根据典型工作任务和工作过程设计一系列模块化的活页式、工作手册式新型教材，并将课程思政融入到教材中，引导学生养成专注执着、精益求精、追求卓越的工匠精神。完成10门校本活页式、工作手册式教材，参与完成3门国家规划教材编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及时更新教材内容。依据企业新技术、新工艺、新规范，及时修订课程教学标准，更新教材内容，做到“一轮一修，随时小修”，增强校本教材的针对性、实用性，与行业、企业先进水平保持同步，与岗位职业能力要求同步，择优支持出版，打造经典教材。</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 .开发配套信息化资源。完善学校数字化智慧校园资源管理平台和信息化教学资源库建设，通过与企业合作、自主开发、购买服务等形式，建成所有课程配套校本信息化资源、2门全省开放共享的精品课程、10个专业教学资源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（五）改革评价模式，构建以学生为中心的教学评价体系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强化过程评价。按照《山东省中等职业学校学生素综合素质评价标准》要求，修订形成完善的学生《学生学业考评办法》等考核标准，把学生学习过程中的课堂表现、出勤、作业完成情况、平时成绩、实训项目成绩、实习成绩等纳入学业评价，形成常态化、长效化的过程培养考核体系，促进学生良好行为习惯的养成，体现学生成长过程。形成以能力为核心的学生评价模式，学业成绩的构成由学生德育千分量化、平时课堂表现、理论成绩、技能成绩、实习成绩构成，采用学生互评、教师评价、企业评价等评价形式，建立起每个学生综合素质评价档案，每学期对每个学生形成一次综合素质评价结论，以此激励学生的积极性、主动性和创造性，为人才培养质量的提高提供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实施综合评价。改变以教师评价为主、学业评价为主、理论考试为主的传统评价模式。在评价主体上，采取教师评、学生评、自我评、用人单位评价，并积极引入以职业技能等级证书为主的第三方评价，实现多元化评价；在评价内容上，紧紧围绕立德树人、德技并修以及培养创新型、发展型、复合型技术技能人才的目标，既评价学生知识的掌握，也评价学生技能水平，更要评价学生综合素质状况，实现评价内容的多维，促进学生的全面发展；在评价方法上，积极创新、大胆运用信息技术等手段，既进行书面评价，也进行操作评价，综合运用线上评价和线下评价，实现评价方法多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注重增值评价。尊重学生学习基础和个体性差异，把评价的视角转移到学生进步上，给不同的学生制定不同的学习目标，确定不同的考核标准，通过对照标准、对照目标、对比同伴、对比过去，进行增量分析，激发学生学习情感，挖掘学生学习潜质，让每一个学生通过评价都能得到激励和帮助，鼓励学生发展，依次提升学生的综合素养和职业能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实现学习成果转换。制定基于能力标准的《临沂市工业学校学生学习成果认定办法》，建立个人学习账号，健全学习成果转换具体办法和转换规则，把学生获取职业技能等级证书、技能大赛获奖、发明创造成果，以及参加素质教育、专业教育、就业教育、双创教育、技能培训、课程培训、社团活动、社会实践等项目等转换成学业成绩，学生可以申请免修相应课程，保障学生多路径、多地点、多形式学习成果的认定、积累与转换，增强学生的获得感和成就感，满足学生个性化成长的需要，为技术技能人才持续成长拓宽通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构建信息化评价平台。依托学校智慧校园平台，建设大数据分析平台，形成学生综合评价信息化系统。建立学生成绩、德育素养、课堂表现、荣誉奖励等关键性指标模型，形成跨部门应用系统，实现全员参与评价、时时能够评价、全方位评价。采用工作表、图表、用户看板等展现工具实现数据分析、数据展示和分析预警，针对学校、处室、系部、教师、学生不同视角，分析生成不同指标展示，建立不同层面的画像和预警指标体系，让学校各层面及时掌握教学状况，让学生能看到自己成长轨迹，时时获悉预警信息，实现教学评价的可追溯、可查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（六）加强师资队伍建设，建成数量充足、结构合理、素质优良的教师队伍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加强师德师风建设，提高教师思想政治素质。以习近平新时代中国特色社会主义思想系统化、常态化学习为重点，深入开展理想信念、社会主义核心价值观、优秀传统文化等专题教育，将师德师风教育作为教师培训的首要任务和必修内容，全面加强教师队伍思想政治工作。将师德考核摆在教师考核的首要位置，坚持以事实为依据，定性与定量相结合，采取师德满意度测评、教师自评、教师互评、考核小组综合评议等方式开展师德考核。积极探索正向激励与反向约束的双向管理机制，结合实际制定具体可行的师德师风正面负面清单。强化师德典型引领，持续开展优秀教师选树宣传，综合运用授予荣誉、事迹报告、媒体宣传等手段，树立和挖掘优秀教师先进典型，深入宣传优秀教师先进事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落实教师专业标准，建立教师素质提升机制。落实教师准入标准，严把教师入口关;制定学校教师聘任(聘用)、考核、退出等管理制度，形成科学有效的教师队伍管理和督导机制，保证入职教师的高素质。按照教师职业特点，完善教师培养培训方案，加强专业建设，深化校企合作，增强教师专业知识的更新和完善，推动教师职业能力提升。制定学校教师专业发展规划，注重教师职业理想与职业道德教育，增强教师育人的责任感与使命感;开展校本培训，促进教师专业发展;完善教师岗位职责和考核评价制度，健全学校教师绩效管理机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严格执行省定教师配备标准，足额配备专任教师。根据在校生规模及发展趋势等实际情况，积极协调编制部门调整教师编制，及时补充专任教师队伍，确保教职工与学生比不低于1：14标准、专任教师与学生比不低于1：20标准，并做好师资储备，为合理的生师比留出发展空间。落实五项自主权，根据学校实际情况，自主确定用人计划，自主确定招考标准、内容和程序，自主招聘各类人才，实行事后备案，招聘专任教师50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落实用人自主权，优化教师队伍结构。继续推进20%编制员额自主聘用专业兼职教师政策，通过合作企业选派、社会招聘等形式，引进具有创新实践经验的企业技术人员、高技能人才、管理人员、能工巧匠等到校兼职任教、合作研究、辅导项目等。完善自主聘任兼职教师管理办法，加强对兼职教师的考核，不断提高兼职教师教学实施能力，努力打造一支不低于80人的高质量兼职教师队伍。响应上级文件精神，落实自主办学政策，简化程序，引进技术能手作为专任教师，提升专业专任教师技能水平，带动专业教师教学能力提升。加大教师职业技能培训，制定政策鼓励和支持教师考取本岗位相关职业资格证书，具有与专业相关的技师等级职业资格证书（或中级以上非教师系列专业技术职务、执业资格）的教师达到40%以上，“双师型”教师比例达专业专任教师的80%以上。通过高学历人才引进政策，吸引研究生学历人才到校任教，充实教师队伍，提升教师学历水平，利用三年时间使师资队伍研究生学历占比提升至10%以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制定教师专业发展规划，搭建教师专业成长平台。制定学校教师队伍建设三年规划，构建分类分层培养标准。实施专业（学科）带头人、骨干教师、青年教师培养工程，深化公共基础课教师培训和教师全员轮训计划，新培养20名专业（学科）带头人、30名骨干教师。力争积极参与实施“职业院校教师教学创新团队境外培训计划”，选派专业（学科）带头人和骨干教师出国（境）研修访学，力争3年内达到专任教师的5%以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完善培养体系，提升“双师型”队伍素质。强化教师到行业企业深度实践，完善教师企业实践制度，建立校企人员双向流动、相互兼职的常态运行机制，提升“双师”素养。每年组织3-5名校企管理人员、骨干教师等人员与合作企业相应管理人员、技术骨干实行双向挂职锻炼，推进专业课教师每年至少累计1个月以多种形式参与企业实践或实训基地实训。制定青年教师成长计划，采取集中学习和分散自学相结合，名师指导和教学实践相结合，校本培训和自我教育相结合的形式，推动青年教师积极参与国家、省、市、县等各级各类培训和校企合作培训，促使50名新聘青年教师提升教学能力，尽快成为一名合格教师。统筹利用现有资源，实施“职业院校教师教学创新团队境外培训计划”，选派一批专业（学科）带头人和骨干教师出国（境）研修访学。组织骨干教师、专业（学科）带头人参加国家级、省级、市级等各级各类培训，积极参与区域内专业教研、教学研讨等各类活动，通过集中研修、跟岗研修、考察交流、在线研讨、返岗实践等方式参与培训，学习了解重要政策、国际职业教育先进理念和实践、区域职业教育现代化、职业院校治理、职业院校人才培养模式改革、1+X证书制度、“三教”改革组织领导与实施、校企合作深化、教育教学成果培育、信息化建设管理和应用等相关内容。培养省级教学名师2名、省级青年技能名师3名。以省级教学团队基础，积极参与国家职业院校教师素质提升计划，紧跟名师（名匠）培育团队，积极学习和研修，着力打造高水平、结构化教学创新团队。整合和优化现有省级教学团队，提升团队水平，发挥团队作用。利用建设期努力将数控技术应用、机电技术应用两个专业教学团队打造成省级职业教育教师教学创新团队、将汽车运用与维修专业教学团队打造成国家级职业教育教师教学创新团队，努力培养省级名师工作室2个、省级课程思政教学名师2名、建设省级技能大师工作室2个。</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七）加强实践教学条件建设，建成设备先进、满足需要的实训实习基地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校内实训基地建设。按照专业建设规划，进一步调整增建部分专业实训室。建实训基地3个，新增实训工位1265个，新购置实训设备2253万元，努力把学校实训中心打造成“教学工厂”模式的集“教学、培训、职业技能鉴定、技术服务”为一体的、全省一流的开放实训中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产教融合实训中心建设。按照县教体局规划，改造县城内原临沭县校服厂、临沭县教育印刷厂，建设临沂市工业学校产教融合实训中心，占地5.9亩，建筑面积3531平方米，设立机械加工、服装设计加工、动物医院、汽车维修、电子商务等产教融合实训基地，服务于机电技术、数控技术、服装设计与工艺、畜牧兽医、汽车运用与维修、电子商务等专业生产实习实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校外实训基地。以“为区域经济建设输送更多的优秀技能人才,更好的为当地经济社会发展服务”为宗旨，充分利用企业资源，与企业开展深层次合作，共建校外实训基地，整合现有23个校外实训基地，淘汰学生满意度不佳的实训基地，特别加强县域内企业的深度校企合作，实行定向、订单培养；形成30个以上稳定的“学生满意、企业欢迎、家长放心”的校企共建校外实训基地。使学生的实训条件得到充分保障，熟练掌握专业技能，实现资源共享，人才共育，助力区域经济高素质、应用型的人才培养目标的实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八）加强数字化教学资源建设，不断提高教学信息化水平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1.建设学校数字化教学平台系统，开发移动终端学习平台，构建开放、联通的“互联网+学习”环境，应用分布式学习、碎片化学习、移动学习和点对点的互动学习，打造线上线下混合教学环境。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2.建设学校数字化资源管理和交流平台系统，实现优质课程、课件、微课等资源网络共享，促进教量网上交流和学生远程学习。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适应“互联网+职业教育”需求，开发、购置、校企共建丰富的数字化教学资源库、网络课程和生产实际教学案例，实现多级互联、多方共享的供给模式，教学资源总量达到20TB。积极参加国家遴选5000门精品在线开放课程项目建设，参与5门精品课程研发，使用国家遴选精品在线课程20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4.重视数字化课程体系建设，根据专业课程特点引入与之相适应的虚拟仿真、数字化实训、远程实时教育等数字化资源，丰富教学手段。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通过“走出去”和“引进来”的方式开展对教师信息化应用培训指导，帮助教师熟练掌握相关信息操作技能，构建国家级、省级、校级三级教师教学能力大赛培养体系，全面提高教师信息化素养，鼓励教师参加市、省、国家职业院校教师教学能力大赛，</w:t>
      </w:r>
      <w:bookmarkStart w:id="4" w:name="_Hlk86001876"/>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培育3个国家级、6个省级教学能力大赛奖项。</w:t>
      </w:r>
      <w:bookmarkEnd w:id="4"/>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九）引进来、走出去，不断提升专业的国际化水平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形成长效机制，国际合作学校长期化、稳定化、典型化。积极参与职业教育国际（地区）交流与合作，修订完善国际（地区）交流合作方案、制度，签订与国（境）外合作学校相关合作文件，夯实国际合作和交流，稳定与职业教育发达国家学校合作办学，并不断扩大合作学校和项目，引进职业教育发达国家优质教育资源，学习借鉴吸收合作学校的办学模式和人才培养模式，推动专业教学改革创新，使国际合作学校合作长期化、稳定化、典型化。到2025年，建立至少1所以上稳定的国（境）外合作学校，形成国际合作长效机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拓展与职业教育发达国家企业和教育机构深度合作、开展本土化实践，创新办学模式和人才培养模式。拓展国际（地区）校际交流，积极探索与职业教育发达国家的企业、职业教育机构或行业协会深度合作，与国际职业教育接轨，引入优质资源，进行国（境）外办学模式和人才培养模式的本土化实践，对接国际标准，与合作学校共同开发人才培养方案和课程标准，形成1个创新的成熟的办学模式与人才培养模式。每年邀请不少于2名掌握学科前沿动态、拥有创新成果的发达国家和地区知名学者、跨国企业高层管理人员来校举办专题讲座或担任客座教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bookmarkStart w:id="5" w:name="_Hlk85560088"/>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3.引进职业教育发达国家优质教育资源，</w:t>
      </w:r>
      <w:bookmarkEnd w:id="5"/>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转化、吸收、开发具有中国特色、国际标准的课程体系和教学标准。接轨国际职业教育，引进职业教育发达国家优质教育资源，对接国际标准开发专业教学标准和课程体系，推动专业教学改革创新。开发出与国际标准对接的专业课程体系和教学标准2个，争取实现1个高水平专业的课程与发达国家互通互认。根据国家“1+X”证书制度，提升教学内容的国际化、职业化水平，提升学生就业的品质和层级。</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加强教师出国（境）交流，提升教师国际视野与全球格局。加强师生国际交流培训，走出去，学习国（境）外职业教育先进经验，提升国际视野，搭建形式多样的学生国际化交流平台。鼓励教师参与国(境)外合作院校教学科研，在专业建设、人才培养方案制订、实训基地建设、师资培训、教材开发等方面深入展开合作交流，考取国际职业资格证书等，到2025年，至少派出20名教师参加国（境）外研修培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服务“一带一路”倡议，提高职业教育资源和技术技能人才输出能力。以国家“一带一路”倡议为引领，探索“中文+职业技能”的国际化发展模式，服务国际产能合作。加强海外合作办学，在专业建设、人才培养方案制订、实训基地建设、师资培训、教材开发等方面展开合作交流，推出一批具有国际影响力的专业标准、课程标准、教学资源，服务“一带一路”国家，融入中国元素。推动学校跟随国内企业走出去，创新实习、就业新途径，通过建立培训基地、外出送教、技术技能人才输出等方式，提高职业教育资源和技术技能人才输出能力，力争为“一带一路”沿线国家提供技术技能人才120人以上，打造中国特色国际化职教品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（十）提高专业服务能力，打造区域内产业发展的重要力量和专业发展的示范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主动服务新旧动能转换、乡村振兴，助力传统产业转型升级。依托专业培训平台，打造覆盖区域“临沂十优”“临沭七优”产业主要企业生产工种的精品技能培训项目，广泛开展企业职工岗位技能培训、晋级提升培训、骨干人才培训，积极参与企业单位“新型学徒制”培训、紧缺工种和专项职业技能提升培训，真正做好技术技能培训服务工作。依托“乡村振兴基地”建设，积极开展送教下乡、农民工劳动力转移技能培训、新型农民工就业培训等；与金丰公社合作成立“金丰学院”，面向全市、全省、全国新型农民开展农业技术培训；与区域种植业、畜牧养殖业大户建立合作关系，选派农业技术指导师，帮助种养大户解决技术难题，提供技术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助力中小企业，积极开展技术咨询和技术服务。学校动物医院和星扬农业发展股份有限公司建立合作关系开展产教融合，为当地种植业、养殖业提供技术咨询和培训服务；学校与京东集团合作建设京东校园体验馆，为京东电商人员提供技术咨询和培训服务。选派技术能力优秀的专业教师作为产业技术指导师进驻当地有关企业，开展种植、养殖、数控、机电、汽修等产业技术咨询与培训服务，并获取相应收益。在县创业大厦建立“临沂市工业学校技术技能创新创业示范园”，以此为依托，协调有关部门为具有创业意愿和能力的人士，提供技术咨询和培训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加强共建共享，发挥示范引领和辐射作用。充分发挥临沂市现代制造职业教育集团、临沂市汽修专业教学工作委员会等专业联盟牵头学校的作用，联合临沂市相关职业学校开展专业建设指导、教师交流、对口培训、资源共享等活动，带动临沂市相关专业共同发展。通过对口支援青海省海北职业技术学校、重庆市城口职业中专，选派优秀教师支教等形式带动相关专业建设。学校定期将专业人才需求调研报告、专业建设规划和标准、人才培养方案、课程标准及资源向其他学校相关专业开放。定期举办专业教学现场会，发布成果，推广经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六、保障措施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（一）组织保障。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将以“十四五”专业发展规划为行动纲领，结合国家、省、市最新要求，全面加强党委领导，把专业建设与党建工作紧密结合，统一思想认识，提高政治站位，紧跟时代步伐，谋划学校专业发展愿景，高起点规划，高标准实施，夯实工作的必备条件和硬性指标，确保规划落实落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（二）制度保障。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保障学校“十四五”专业发展规划的落实，确保圆满顺利完成建设任务目标，学校将以国家和山东高水平中职学校、专业创建为中心，突出重点任务，建立工作台账，整体协调推进。同时，根据学校专业发展规划制定“工作目标配档表” “年度任务推进表”“考核奖惩制度与细则”等一系列配套规章制度，并根据既定的时间表和路线图持之以恒抓好工作落实。</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（三）经费保障。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严格按照省政府有关要求，进一步强化中等职业教育基础地位，努力加大中等职业教育投入，提高中等职业教育经费保障水平；严格落实教育费附加不低于30%和地方教育附加不低于30%用于职业教育的政策，足额拨付生均公用经费，保证各项配套资金和专款及时到位并专款专用；多方筹集资金，积极争取合作企业支持，加强产教融合实训基地和校办实体管理，广泛开展技术研发和技术服务，提高经济收益，增强自身造血功能，确保项目建设顺利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760" w:firstLineChars="18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2021年6月30日</w:t>
      </w:r>
    </w:p>
    <w:sectPr>
      <w:pgSz w:w="11906" w:h="16838"/>
      <w:pgMar w:top="1531" w:right="1417"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C35518-E140-480C-AA51-34592EF96C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DB8344E2-FDF0-40E3-B08F-09A25A88F2F9}"/>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3" w:fontKey="{0DF4016E-D33B-4DD9-BBB3-9464A4681818}"/>
  </w:font>
  <w:font w:name="方正小标宋简体">
    <w:panose1 w:val="02000000000000000000"/>
    <w:charset w:val="86"/>
    <w:family w:val="auto"/>
    <w:pitch w:val="default"/>
    <w:sig w:usb0="A00002BF" w:usb1="184F6CFA" w:usb2="00000012" w:usb3="00000000" w:csb0="00040001" w:csb1="00000000"/>
    <w:embedRegular r:id="rId4" w:fontKey="{F36A0080-C676-4C6A-9698-EF4A9D11BE4B}"/>
  </w:font>
  <w:font w:name="楷体">
    <w:panose1 w:val="02010609060101010101"/>
    <w:charset w:val="86"/>
    <w:family w:val="modern"/>
    <w:pitch w:val="default"/>
    <w:sig w:usb0="800002BF" w:usb1="38CF7CFA" w:usb2="00000016" w:usb3="00000000" w:csb0="00040001" w:csb1="00000000"/>
    <w:embedRegular r:id="rId5" w:fontKey="{3A65AEBE-3EB2-4C92-A22F-2BA3A0B8603F}"/>
  </w:font>
  <w:font w:name="仿宋_GB2312">
    <w:panose1 w:val="02010609030101010101"/>
    <w:charset w:val="86"/>
    <w:family w:val="modern"/>
    <w:pitch w:val="default"/>
    <w:sig w:usb0="00000001" w:usb1="080E0000" w:usb2="00000000" w:usb3="00000000" w:csb0="00040000" w:csb1="00000000"/>
    <w:embedRegular r:id="rId6" w:fontKey="{8AD03555-9B53-4B28-BE8B-0BF8B7C0947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4780992"/>
                            <w:docPartObj>
                              <w:docPartGallery w:val="autotext"/>
                            </w:docPartObj>
                          </w:sdtPr>
                          <w:sdtEndPr>
                            <w:rPr>
                              <w:rFonts w:ascii="宋体" w:hAnsi="宋体" w:eastAsia="宋体"/>
                              <w:sz w:val="28"/>
                              <w:szCs w:val="28"/>
                            </w:rPr>
                          </w:sdtEndPr>
                          <w:sdtContent>
                            <w:p>
                              <w:pPr>
                                <w:pStyle w:val="7"/>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94780992"/>
                      <w:docPartObj>
                        <w:docPartGallery w:val="autotext"/>
                      </w:docPartObj>
                    </w:sdtPr>
                    <w:sdtEndPr>
                      <w:rPr>
                        <w:rFonts w:ascii="宋体" w:hAnsi="宋体" w:eastAsia="宋体"/>
                        <w:sz w:val="28"/>
                        <w:szCs w:val="28"/>
                      </w:rPr>
                    </w:sdtEndPr>
                    <w:sdtContent>
                      <w:p>
                        <w:pPr>
                          <w:pStyle w:val="7"/>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3Y2I3ODY4ZTczYjdiYWMxM2I1MjQzYzEzMDlhMDAifQ=="/>
  </w:docVars>
  <w:rsids>
    <w:rsidRoot w:val="00F86C38"/>
    <w:rsid w:val="00021944"/>
    <w:rsid w:val="00030EE2"/>
    <w:rsid w:val="0003179E"/>
    <w:rsid w:val="00033134"/>
    <w:rsid w:val="00057482"/>
    <w:rsid w:val="00063E11"/>
    <w:rsid w:val="0007155C"/>
    <w:rsid w:val="00086115"/>
    <w:rsid w:val="000951CC"/>
    <w:rsid w:val="000B63CF"/>
    <w:rsid w:val="000D7591"/>
    <w:rsid w:val="000F0DAC"/>
    <w:rsid w:val="000F47A3"/>
    <w:rsid w:val="001012C9"/>
    <w:rsid w:val="001049F5"/>
    <w:rsid w:val="001463AD"/>
    <w:rsid w:val="00163028"/>
    <w:rsid w:val="0018218E"/>
    <w:rsid w:val="00184540"/>
    <w:rsid w:val="00187E5D"/>
    <w:rsid w:val="001A08F7"/>
    <w:rsid w:val="001A0DB4"/>
    <w:rsid w:val="001A3A1A"/>
    <w:rsid w:val="001A4C66"/>
    <w:rsid w:val="001B78AB"/>
    <w:rsid w:val="001D2740"/>
    <w:rsid w:val="001D76F3"/>
    <w:rsid w:val="001F29AE"/>
    <w:rsid w:val="00216975"/>
    <w:rsid w:val="002363C8"/>
    <w:rsid w:val="0024658C"/>
    <w:rsid w:val="002610F5"/>
    <w:rsid w:val="00290B9F"/>
    <w:rsid w:val="00293B9E"/>
    <w:rsid w:val="0029503A"/>
    <w:rsid w:val="002A42C4"/>
    <w:rsid w:val="002A4A2C"/>
    <w:rsid w:val="002C7D1A"/>
    <w:rsid w:val="002D6EF8"/>
    <w:rsid w:val="002E5FB4"/>
    <w:rsid w:val="002E65CB"/>
    <w:rsid w:val="002E6A49"/>
    <w:rsid w:val="00301ABE"/>
    <w:rsid w:val="00311CAA"/>
    <w:rsid w:val="0032523F"/>
    <w:rsid w:val="00325489"/>
    <w:rsid w:val="00350727"/>
    <w:rsid w:val="00363733"/>
    <w:rsid w:val="00365F89"/>
    <w:rsid w:val="00375A7A"/>
    <w:rsid w:val="00381AB1"/>
    <w:rsid w:val="003A75F6"/>
    <w:rsid w:val="003A78A2"/>
    <w:rsid w:val="003A7E54"/>
    <w:rsid w:val="003B5D4E"/>
    <w:rsid w:val="003B6A8B"/>
    <w:rsid w:val="003D2EA8"/>
    <w:rsid w:val="003F32FA"/>
    <w:rsid w:val="00407B77"/>
    <w:rsid w:val="004124A6"/>
    <w:rsid w:val="00415174"/>
    <w:rsid w:val="00424D95"/>
    <w:rsid w:val="00432433"/>
    <w:rsid w:val="0044269B"/>
    <w:rsid w:val="0044754B"/>
    <w:rsid w:val="004A03F4"/>
    <w:rsid w:val="004B3677"/>
    <w:rsid w:val="004B3B8C"/>
    <w:rsid w:val="004F3302"/>
    <w:rsid w:val="004F6005"/>
    <w:rsid w:val="00511B3E"/>
    <w:rsid w:val="0051657B"/>
    <w:rsid w:val="00535D0A"/>
    <w:rsid w:val="005538C6"/>
    <w:rsid w:val="00557450"/>
    <w:rsid w:val="005646D8"/>
    <w:rsid w:val="00571154"/>
    <w:rsid w:val="00586FB0"/>
    <w:rsid w:val="00594923"/>
    <w:rsid w:val="00594D1F"/>
    <w:rsid w:val="005A5785"/>
    <w:rsid w:val="005B192B"/>
    <w:rsid w:val="005C0293"/>
    <w:rsid w:val="005D07A9"/>
    <w:rsid w:val="005D3611"/>
    <w:rsid w:val="005E66D8"/>
    <w:rsid w:val="006000BB"/>
    <w:rsid w:val="00610535"/>
    <w:rsid w:val="00626C34"/>
    <w:rsid w:val="00636A68"/>
    <w:rsid w:val="00661961"/>
    <w:rsid w:val="00674B91"/>
    <w:rsid w:val="0068684C"/>
    <w:rsid w:val="006959B8"/>
    <w:rsid w:val="0069615E"/>
    <w:rsid w:val="006A5648"/>
    <w:rsid w:val="006A7F1A"/>
    <w:rsid w:val="006C0ADA"/>
    <w:rsid w:val="006C4BE1"/>
    <w:rsid w:val="006E78AA"/>
    <w:rsid w:val="00710C4D"/>
    <w:rsid w:val="00724D13"/>
    <w:rsid w:val="00730824"/>
    <w:rsid w:val="00732AF3"/>
    <w:rsid w:val="00735892"/>
    <w:rsid w:val="0073589D"/>
    <w:rsid w:val="00766E2A"/>
    <w:rsid w:val="00773364"/>
    <w:rsid w:val="007777C5"/>
    <w:rsid w:val="00796131"/>
    <w:rsid w:val="007B5912"/>
    <w:rsid w:val="007D0A75"/>
    <w:rsid w:val="007D1430"/>
    <w:rsid w:val="007E6C97"/>
    <w:rsid w:val="007F60BC"/>
    <w:rsid w:val="00801AF8"/>
    <w:rsid w:val="008371C4"/>
    <w:rsid w:val="00850A3B"/>
    <w:rsid w:val="0086013B"/>
    <w:rsid w:val="00860CC2"/>
    <w:rsid w:val="008625B3"/>
    <w:rsid w:val="00875ABE"/>
    <w:rsid w:val="00877C59"/>
    <w:rsid w:val="00877EE2"/>
    <w:rsid w:val="0089103F"/>
    <w:rsid w:val="008A25CE"/>
    <w:rsid w:val="008B1B1E"/>
    <w:rsid w:val="008B4DCA"/>
    <w:rsid w:val="008C2800"/>
    <w:rsid w:val="008E22B6"/>
    <w:rsid w:val="008F79D0"/>
    <w:rsid w:val="00907D81"/>
    <w:rsid w:val="00913C0A"/>
    <w:rsid w:val="0091438F"/>
    <w:rsid w:val="0091793E"/>
    <w:rsid w:val="00925320"/>
    <w:rsid w:val="00932BF0"/>
    <w:rsid w:val="009541F0"/>
    <w:rsid w:val="00967A50"/>
    <w:rsid w:val="009774D3"/>
    <w:rsid w:val="00981298"/>
    <w:rsid w:val="009918EF"/>
    <w:rsid w:val="00995B4F"/>
    <w:rsid w:val="009A6897"/>
    <w:rsid w:val="009B0515"/>
    <w:rsid w:val="009C1616"/>
    <w:rsid w:val="009D2412"/>
    <w:rsid w:val="009F17A2"/>
    <w:rsid w:val="009F7C9C"/>
    <w:rsid w:val="00A03EC7"/>
    <w:rsid w:val="00A13ED4"/>
    <w:rsid w:val="00A2371C"/>
    <w:rsid w:val="00A30E01"/>
    <w:rsid w:val="00A46037"/>
    <w:rsid w:val="00A62F5E"/>
    <w:rsid w:val="00A75459"/>
    <w:rsid w:val="00A879C6"/>
    <w:rsid w:val="00A93B27"/>
    <w:rsid w:val="00A96A14"/>
    <w:rsid w:val="00AB0376"/>
    <w:rsid w:val="00AB1E8E"/>
    <w:rsid w:val="00AD48B3"/>
    <w:rsid w:val="00AE3B6E"/>
    <w:rsid w:val="00AF040B"/>
    <w:rsid w:val="00AF2DF9"/>
    <w:rsid w:val="00AF5BC0"/>
    <w:rsid w:val="00B277C0"/>
    <w:rsid w:val="00B3072B"/>
    <w:rsid w:val="00B3291D"/>
    <w:rsid w:val="00B72E81"/>
    <w:rsid w:val="00B82B08"/>
    <w:rsid w:val="00B845BC"/>
    <w:rsid w:val="00B877D4"/>
    <w:rsid w:val="00B87AC4"/>
    <w:rsid w:val="00B91A38"/>
    <w:rsid w:val="00B946E9"/>
    <w:rsid w:val="00BA21F8"/>
    <w:rsid w:val="00BC1E1F"/>
    <w:rsid w:val="00BD084E"/>
    <w:rsid w:val="00C04378"/>
    <w:rsid w:val="00C064BC"/>
    <w:rsid w:val="00C30F3C"/>
    <w:rsid w:val="00C32DF3"/>
    <w:rsid w:val="00C61F7A"/>
    <w:rsid w:val="00C657F3"/>
    <w:rsid w:val="00C677D9"/>
    <w:rsid w:val="00C7198C"/>
    <w:rsid w:val="00C7654E"/>
    <w:rsid w:val="00C92D9A"/>
    <w:rsid w:val="00C975DB"/>
    <w:rsid w:val="00CB0B77"/>
    <w:rsid w:val="00CB4787"/>
    <w:rsid w:val="00CC5CE6"/>
    <w:rsid w:val="00CD3A65"/>
    <w:rsid w:val="00CD4347"/>
    <w:rsid w:val="00CF4C50"/>
    <w:rsid w:val="00D1359E"/>
    <w:rsid w:val="00D37BB2"/>
    <w:rsid w:val="00D4456A"/>
    <w:rsid w:val="00D53DD8"/>
    <w:rsid w:val="00D572AB"/>
    <w:rsid w:val="00D61FDF"/>
    <w:rsid w:val="00D71B14"/>
    <w:rsid w:val="00D93E99"/>
    <w:rsid w:val="00DA1407"/>
    <w:rsid w:val="00DE6C65"/>
    <w:rsid w:val="00DE7C75"/>
    <w:rsid w:val="00E05874"/>
    <w:rsid w:val="00E141D5"/>
    <w:rsid w:val="00E23BDC"/>
    <w:rsid w:val="00E6456A"/>
    <w:rsid w:val="00E64B78"/>
    <w:rsid w:val="00E7741F"/>
    <w:rsid w:val="00E84FCD"/>
    <w:rsid w:val="00E85426"/>
    <w:rsid w:val="00E874EA"/>
    <w:rsid w:val="00EC0224"/>
    <w:rsid w:val="00EC4203"/>
    <w:rsid w:val="00F30CA0"/>
    <w:rsid w:val="00F47E84"/>
    <w:rsid w:val="00F54E3B"/>
    <w:rsid w:val="00F56D8B"/>
    <w:rsid w:val="00F6308B"/>
    <w:rsid w:val="00F818A0"/>
    <w:rsid w:val="00F86C38"/>
    <w:rsid w:val="00FB0ED6"/>
    <w:rsid w:val="00FB1335"/>
    <w:rsid w:val="00FC00B2"/>
    <w:rsid w:val="00FE01FD"/>
    <w:rsid w:val="00FE28D5"/>
    <w:rsid w:val="00FE7E6F"/>
    <w:rsid w:val="01D84888"/>
    <w:rsid w:val="022946B0"/>
    <w:rsid w:val="032015EE"/>
    <w:rsid w:val="03204C34"/>
    <w:rsid w:val="048C381C"/>
    <w:rsid w:val="06E8347F"/>
    <w:rsid w:val="07A70BB5"/>
    <w:rsid w:val="08616934"/>
    <w:rsid w:val="092744E7"/>
    <w:rsid w:val="09DE60CF"/>
    <w:rsid w:val="0B6A2F0A"/>
    <w:rsid w:val="0C4660B6"/>
    <w:rsid w:val="0E356FF1"/>
    <w:rsid w:val="0EC56A44"/>
    <w:rsid w:val="0F1F5C7E"/>
    <w:rsid w:val="10B0462E"/>
    <w:rsid w:val="113564EB"/>
    <w:rsid w:val="11FD26B5"/>
    <w:rsid w:val="139323BD"/>
    <w:rsid w:val="14847326"/>
    <w:rsid w:val="17FF1DFC"/>
    <w:rsid w:val="191D135C"/>
    <w:rsid w:val="1AC75042"/>
    <w:rsid w:val="1C222F92"/>
    <w:rsid w:val="1D647D38"/>
    <w:rsid w:val="1D8B05A9"/>
    <w:rsid w:val="1D8D0FCA"/>
    <w:rsid w:val="207331B3"/>
    <w:rsid w:val="215861D0"/>
    <w:rsid w:val="21A93954"/>
    <w:rsid w:val="23111551"/>
    <w:rsid w:val="242877DE"/>
    <w:rsid w:val="245D270F"/>
    <w:rsid w:val="246A77DD"/>
    <w:rsid w:val="27D93986"/>
    <w:rsid w:val="29CF04E6"/>
    <w:rsid w:val="2B982215"/>
    <w:rsid w:val="2BE242B6"/>
    <w:rsid w:val="2C057779"/>
    <w:rsid w:val="2CFE6F12"/>
    <w:rsid w:val="2D960060"/>
    <w:rsid w:val="2E5A06E2"/>
    <w:rsid w:val="32501153"/>
    <w:rsid w:val="33415D84"/>
    <w:rsid w:val="34720B9A"/>
    <w:rsid w:val="355A1DDF"/>
    <w:rsid w:val="36AC4486"/>
    <w:rsid w:val="37004EAB"/>
    <w:rsid w:val="388B3C27"/>
    <w:rsid w:val="38F372D7"/>
    <w:rsid w:val="3B07350D"/>
    <w:rsid w:val="3D27116F"/>
    <w:rsid w:val="3DA01B6D"/>
    <w:rsid w:val="3E8409D1"/>
    <w:rsid w:val="3EF265A4"/>
    <w:rsid w:val="3F1955BD"/>
    <w:rsid w:val="405465FA"/>
    <w:rsid w:val="41983493"/>
    <w:rsid w:val="45DB537A"/>
    <w:rsid w:val="479954ED"/>
    <w:rsid w:val="47FB1052"/>
    <w:rsid w:val="48733E36"/>
    <w:rsid w:val="48A00AFD"/>
    <w:rsid w:val="4A1F16AD"/>
    <w:rsid w:val="4AB20716"/>
    <w:rsid w:val="4AF67FE7"/>
    <w:rsid w:val="4BA31E7E"/>
    <w:rsid w:val="4BCA1FA1"/>
    <w:rsid w:val="4CD44087"/>
    <w:rsid w:val="4DCD1C84"/>
    <w:rsid w:val="4E2A3343"/>
    <w:rsid w:val="503A13E3"/>
    <w:rsid w:val="51807799"/>
    <w:rsid w:val="51C43DA1"/>
    <w:rsid w:val="54B020C8"/>
    <w:rsid w:val="54CB6F02"/>
    <w:rsid w:val="587F2ED7"/>
    <w:rsid w:val="59505DD3"/>
    <w:rsid w:val="59EF3692"/>
    <w:rsid w:val="5AC8016B"/>
    <w:rsid w:val="5BBE7491"/>
    <w:rsid w:val="5BC528B2"/>
    <w:rsid w:val="5C210829"/>
    <w:rsid w:val="5D2E002E"/>
    <w:rsid w:val="5D9B2323"/>
    <w:rsid w:val="5F472138"/>
    <w:rsid w:val="63DF537F"/>
    <w:rsid w:val="68FE5203"/>
    <w:rsid w:val="69E55F18"/>
    <w:rsid w:val="6CE06ED9"/>
    <w:rsid w:val="6D087752"/>
    <w:rsid w:val="6E45604A"/>
    <w:rsid w:val="6EA6211A"/>
    <w:rsid w:val="6F14344F"/>
    <w:rsid w:val="709C1A26"/>
    <w:rsid w:val="71953894"/>
    <w:rsid w:val="71AA1F21"/>
    <w:rsid w:val="71FE07EA"/>
    <w:rsid w:val="773644F4"/>
    <w:rsid w:val="77A86F03"/>
    <w:rsid w:val="784C7A0A"/>
    <w:rsid w:val="7B155E65"/>
    <w:rsid w:val="7C5C153A"/>
    <w:rsid w:val="7C66113B"/>
    <w:rsid w:val="7D9121E7"/>
    <w:rsid w:val="7F8E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line="560" w:lineRule="exact"/>
      <w:outlineLvl w:val="1"/>
    </w:pPr>
    <w:rPr>
      <w:rFonts w:ascii="Cambria" w:hAnsi="Cambria" w:eastAsia="仿宋"/>
      <w:b/>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uiPriority w:val="39"/>
    <w:pPr>
      <w:widowControl/>
      <w:spacing w:after="100" w:line="259" w:lineRule="auto"/>
      <w:ind w:left="440"/>
      <w:jc w:val="left"/>
    </w:pPr>
    <w:rPr>
      <w:rFonts w:cs="Times New Roman"/>
      <w:kern w:val="0"/>
      <w:sz w:val="22"/>
    </w:rPr>
  </w:style>
  <w:style w:type="paragraph" w:styleId="5">
    <w:name w:val="Date"/>
    <w:basedOn w:val="1"/>
    <w:next w:val="1"/>
    <w:link w:val="19"/>
    <w:semiHidden/>
    <w:unhideWhenUsed/>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paragraph" w:styleId="11">
    <w:name w:val="Normal (Web)"/>
    <w:basedOn w:val="1"/>
    <w:unhideWhenUsed/>
    <w:qFormat/>
    <w:uiPriority w:val="99"/>
    <w:pPr>
      <w:widowControl/>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批注框文本 字符"/>
    <w:basedOn w:val="14"/>
    <w:link w:val="6"/>
    <w:semiHidden/>
    <w:uiPriority w:val="99"/>
    <w:rPr>
      <w:sz w:val="18"/>
      <w:szCs w:val="18"/>
    </w:rPr>
  </w:style>
  <w:style w:type="character" w:customStyle="1" w:styleId="17">
    <w:name w:val="页眉 字符"/>
    <w:basedOn w:val="14"/>
    <w:link w:val="8"/>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日期 字符"/>
    <w:basedOn w:val="14"/>
    <w:link w:val="5"/>
    <w:semiHidden/>
    <w:uiPriority w:val="99"/>
  </w:style>
  <w:style w:type="character" w:customStyle="1" w:styleId="20">
    <w:name w:val="标题 1 字符"/>
    <w:basedOn w:val="14"/>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font11"/>
    <w:basedOn w:val="14"/>
    <w:uiPriority w:val="0"/>
    <w:rPr>
      <w:rFonts w:hint="eastAsia"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D17EE-9B8F-4109-AB78-834D083BEABD}">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1425</Words>
  <Characters>8125</Characters>
  <Lines>67</Lines>
  <Paragraphs>19</Paragraphs>
  <TotalTime>7</TotalTime>
  <ScaleCrop>false</ScaleCrop>
  <LinksUpToDate>false</LinksUpToDate>
  <CharactersWithSpaces>9531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2019-10-27T07:57:00Z</dcterms:created>
  <dc:creator>administrator</dc:creator>
  <cp:lastModifiedBy>a</cp:lastModifiedBy>
  <cp:lastPrinted>2023-11-05T10:59:00Z</cp:lastPrinted>
  <dcterms:modified xsi:type="dcterms:W3CDTF">2023-11-06T01:22:14Z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36E2A0B1C18545DB80612D38BB2804F8_13</vt:lpwstr>
  </property>
</Properties>
</file>